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CB3" w:rsidRPr="00B94E33" w:rsidRDefault="00E77CB3" w:rsidP="00B94E33">
      <w:pPr>
        <w:jc w:val="center"/>
        <w:rPr>
          <w:lang w:val="fr-FR"/>
        </w:rPr>
      </w:pPr>
      <w:bookmarkStart w:id="0" w:name="_GoBack"/>
      <w:bookmarkEnd w:id="0"/>
    </w:p>
    <w:p w:rsidR="008743BB" w:rsidRPr="00B94E33" w:rsidRDefault="008743BB" w:rsidP="00B94E33">
      <w:pPr>
        <w:jc w:val="center"/>
        <w:rPr>
          <w:lang w:val="fr-FR"/>
        </w:rPr>
      </w:pPr>
    </w:p>
    <w:p w:rsidR="008743BB" w:rsidRPr="00B94E33" w:rsidRDefault="008743BB" w:rsidP="00B94E33">
      <w:pPr>
        <w:jc w:val="center"/>
        <w:rPr>
          <w:lang w:val="fr-FR"/>
        </w:rPr>
      </w:pPr>
    </w:p>
    <w:p w:rsidR="00E77CB3" w:rsidRPr="00B94E33" w:rsidRDefault="00DA02C2" w:rsidP="00B94E33">
      <w:pPr>
        <w:jc w:val="center"/>
        <w:rPr>
          <w:lang w:val="fr-FR"/>
        </w:rPr>
      </w:pPr>
      <w:r w:rsidRPr="00B94E33">
        <w:rPr>
          <w:lang w:val="fr-FR"/>
        </w:rPr>
        <w:t>PREMIÈRE SECTION</w:t>
      </w:r>
    </w:p>
    <w:p w:rsidR="00E77CB3" w:rsidRPr="00B94E33" w:rsidRDefault="00E77CB3" w:rsidP="00B94E33">
      <w:pPr>
        <w:jc w:val="center"/>
        <w:rPr>
          <w:lang w:val="fr-FR"/>
        </w:rPr>
      </w:pPr>
    </w:p>
    <w:p w:rsidR="008743BB" w:rsidRPr="00B94E33" w:rsidRDefault="008743BB" w:rsidP="00B94E33">
      <w:pPr>
        <w:jc w:val="center"/>
        <w:rPr>
          <w:lang w:val="fr-FR"/>
        </w:rPr>
      </w:pPr>
    </w:p>
    <w:p w:rsidR="008743BB" w:rsidRPr="00B94E33" w:rsidRDefault="008743BB" w:rsidP="00B94E33">
      <w:pPr>
        <w:jc w:val="center"/>
        <w:rPr>
          <w:lang w:val="fr-FR"/>
        </w:rPr>
      </w:pPr>
    </w:p>
    <w:p w:rsidR="008743BB" w:rsidRPr="00B94E33" w:rsidRDefault="008743BB" w:rsidP="00B94E33">
      <w:pPr>
        <w:jc w:val="center"/>
        <w:rPr>
          <w:lang w:val="fr-FR"/>
        </w:rPr>
      </w:pPr>
    </w:p>
    <w:p w:rsidR="008743BB" w:rsidRPr="00B94E33" w:rsidRDefault="008743BB" w:rsidP="00B94E33">
      <w:pPr>
        <w:jc w:val="center"/>
        <w:rPr>
          <w:lang w:val="fr-FR"/>
        </w:rPr>
      </w:pPr>
    </w:p>
    <w:p w:rsidR="008743BB" w:rsidRPr="00B94E33" w:rsidRDefault="008743BB" w:rsidP="00B94E33">
      <w:pPr>
        <w:jc w:val="center"/>
        <w:rPr>
          <w:lang w:val="fr-FR"/>
        </w:rPr>
      </w:pPr>
    </w:p>
    <w:p w:rsidR="00E77CB3" w:rsidRPr="00B94E33" w:rsidRDefault="00E77CB3" w:rsidP="00B94E33">
      <w:pPr>
        <w:jc w:val="center"/>
        <w:rPr>
          <w:lang w:val="fr-FR"/>
        </w:rPr>
      </w:pPr>
    </w:p>
    <w:p w:rsidR="00E77CB3" w:rsidRPr="00B94E33" w:rsidRDefault="00E77CB3" w:rsidP="00B94E33">
      <w:pPr>
        <w:jc w:val="center"/>
        <w:rPr>
          <w:lang w:val="fr-FR"/>
        </w:rPr>
      </w:pPr>
    </w:p>
    <w:p w:rsidR="00E77CB3" w:rsidRPr="00B94E33" w:rsidRDefault="00E77CB3" w:rsidP="00B94E33">
      <w:pPr>
        <w:jc w:val="center"/>
        <w:rPr>
          <w:b/>
          <w:lang w:val="fr-FR"/>
        </w:rPr>
      </w:pPr>
      <w:bookmarkStart w:id="1" w:name="To"/>
      <w:r w:rsidRPr="00B94E33">
        <w:rPr>
          <w:b/>
          <w:lang w:val="fr-FR"/>
        </w:rPr>
        <w:t xml:space="preserve">AFFAIRE </w:t>
      </w:r>
      <w:bookmarkEnd w:id="1"/>
      <w:r w:rsidR="00DA02C2" w:rsidRPr="00B94E33">
        <w:rPr>
          <w:b/>
          <w:lang w:val="fr-FR"/>
        </w:rPr>
        <w:t>TALPIS c. ITALIE</w:t>
      </w:r>
    </w:p>
    <w:p w:rsidR="00E77CB3" w:rsidRPr="00B94E33" w:rsidRDefault="00E77CB3" w:rsidP="00B94E33">
      <w:pPr>
        <w:jc w:val="center"/>
        <w:rPr>
          <w:lang w:val="fr-FR"/>
        </w:rPr>
      </w:pPr>
    </w:p>
    <w:p w:rsidR="008743BB" w:rsidRPr="00B94E33" w:rsidRDefault="00E77CB3" w:rsidP="00B94E33">
      <w:pPr>
        <w:jc w:val="center"/>
        <w:rPr>
          <w:bCs/>
          <w:szCs w:val="24"/>
          <w:lang w:val="fr-FR"/>
        </w:rPr>
      </w:pPr>
      <w:r w:rsidRPr="00B94E33">
        <w:rPr>
          <w:i/>
          <w:lang w:val="fr-FR"/>
        </w:rPr>
        <w:t>(</w:t>
      </w:r>
      <w:r w:rsidR="00DA02C2" w:rsidRPr="00B94E33">
        <w:rPr>
          <w:i/>
          <w:lang w:val="fr-FR"/>
        </w:rPr>
        <w:t>Requête n</w:t>
      </w:r>
      <w:r w:rsidR="00DA02C2" w:rsidRPr="00B94E33">
        <w:rPr>
          <w:i/>
          <w:vertAlign w:val="superscript"/>
          <w:lang w:val="fr-FR"/>
        </w:rPr>
        <w:t>o</w:t>
      </w:r>
      <w:r w:rsidR="00DA02C2" w:rsidRPr="00B94E33">
        <w:rPr>
          <w:i/>
          <w:lang w:val="fr-FR"/>
        </w:rPr>
        <w:t xml:space="preserve"> 41237/14</w:t>
      </w:r>
      <w:r w:rsidRPr="00B94E33">
        <w:rPr>
          <w:i/>
          <w:lang w:val="fr-FR"/>
        </w:rPr>
        <w:t>)</w:t>
      </w:r>
    </w:p>
    <w:p w:rsidR="008743BB" w:rsidRPr="00B94E33" w:rsidRDefault="008743BB" w:rsidP="00B94E33">
      <w:pPr>
        <w:jc w:val="center"/>
        <w:rPr>
          <w:b/>
          <w:bCs/>
          <w:szCs w:val="24"/>
          <w:lang w:val="fr-FR"/>
        </w:rPr>
      </w:pPr>
    </w:p>
    <w:p w:rsidR="008743BB" w:rsidRPr="00B94E33" w:rsidRDefault="008743BB" w:rsidP="00B94E33">
      <w:pPr>
        <w:jc w:val="center"/>
        <w:rPr>
          <w:b/>
          <w:bCs/>
          <w:szCs w:val="24"/>
          <w:lang w:val="fr-FR"/>
        </w:rPr>
      </w:pPr>
    </w:p>
    <w:p w:rsidR="008743BB" w:rsidRPr="00B94E33" w:rsidRDefault="008743BB" w:rsidP="00B94E33">
      <w:pPr>
        <w:jc w:val="center"/>
        <w:rPr>
          <w:lang w:val="fr-FR"/>
        </w:rPr>
      </w:pPr>
    </w:p>
    <w:p w:rsidR="008743BB" w:rsidRPr="00B94E33" w:rsidRDefault="008743BB" w:rsidP="00B94E33">
      <w:pPr>
        <w:jc w:val="center"/>
        <w:rPr>
          <w:lang w:val="fr-FR"/>
        </w:rPr>
      </w:pPr>
    </w:p>
    <w:p w:rsidR="008743BB" w:rsidRPr="00B94E33" w:rsidRDefault="008743BB" w:rsidP="00B94E33">
      <w:pPr>
        <w:jc w:val="center"/>
        <w:rPr>
          <w:lang w:val="fr-FR"/>
        </w:rPr>
      </w:pPr>
    </w:p>
    <w:p w:rsidR="008743BB" w:rsidRPr="00B94E33" w:rsidRDefault="008743BB" w:rsidP="00B94E33">
      <w:pPr>
        <w:jc w:val="center"/>
        <w:rPr>
          <w:lang w:val="fr-FR"/>
        </w:rPr>
      </w:pPr>
    </w:p>
    <w:p w:rsidR="008743BB" w:rsidRPr="00B94E33" w:rsidRDefault="008743BB" w:rsidP="00B94E33">
      <w:pPr>
        <w:jc w:val="center"/>
        <w:rPr>
          <w:lang w:val="fr-FR"/>
        </w:rPr>
      </w:pPr>
    </w:p>
    <w:p w:rsidR="008743BB" w:rsidRPr="00B94E33" w:rsidRDefault="008743BB" w:rsidP="00B94E33">
      <w:pPr>
        <w:jc w:val="center"/>
        <w:rPr>
          <w:lang w:val="fr-FR"/>
        </w:rPr>
      </w:pPr>
      <w:r w:rsidRPr="00B94E33">
        <w:rPr>
          <w:lang w:val="fr-FR"/>
        </w:rPr>
        <w:t>ARRÊT</w:t>
      </w:r>
    </w:p>
    <w:p w:rsidR="008743BB" w:rsidRPr="00B94E33" w:rsidRDefault="008743BB" w:rsidP="00B94E33">
      <w:pPr>
        <w:jc w:val="center"/>
        <w:rPr>
          <w:lang w:val="fr-FR"/>
        </w:rPr>
      </w:pPr>
    </w:p>
    <w:p w:rsidR="008743BB" w:rsidRPr="00B94E33" w:rsidRDefault="008743BB" w:rsidP="00B94E33">
      <w:pPr>
        <w:jc w:val="center"/>
        <w:rPr>
          <w:lang w:val="fr-FR"/>
        </w:rPr>
      </w:pPr>
    </w:p>
    <w:p w:rsidR="008743BB" w:rsidRPr="00B94E33" w:rsidRDefault="008743BB" w:rsidP="00B94E33">
      <w:pPr>
        <w:jc w:val="center"/>
        <w:rPr>
          <w:lang w:val="fr-FR"/>
        </w:rPr>
      </w:pPr>
    </w:p>
    <w:p w:rsidR="008743BB" w:rsidRPr="00B94E33" w:rsidRDefault="008743BB" w:rsidP="00B94E33">
      <w:pPr>
        <w:jc w:val="center"/>
        <w:rPr>
          <w:lang w:val="fr-FR"/>
        </w:rPr>
      </w:pPr>
    </w:p>
    <w:p w:rsidR="008743BB" w:rsidRPr="00B94E33" w:rsidRDefault="008743BB" w:rsidP="00B94E33">
      <w:pPr>
        <w:jc w:val="center"/>
        <w:rPr>
          <w:lang w:val="fr-FR"/>
        </w:rPr>
      </w:pPr>
      <w:r w:rsidRPr="00B94E33">
        <w:rPr>
          <w:lang w:val="fr-FR"/>
        </w:rPr>
        <w:t>STRASBOURG</w:t>
      </w:r>
    </w:p>
    <w:p w:rsidR="008743BB" w:rsidRPr="00B94E33" w:rsidRDefault="008743BB" w:rsidP="00B94E33">
      <w:pPr>
        <w:jc w:val="center"/>
        <w:rPr>
          <w:lang w:val="fr-FR"/>
        </w:rPr>
      </w:pPr>
    </w:p>
    <w:p w:rsidR="008743BB" w:rsidRPr="00B94E33" w:rsidRDefault="00351129" w:rsidP="00B94E33">
      <w:pPr>
        <w:jc w:val="center"/>
        <w:rPr>
          <w:lang w:val="fr-FR"/>
        </w:rPr>
      </w:pPr>
      <w:r w:rsidRPr="00B94E33">
        <w:rPr>
          <w:lang w:val="fr-FR"/>
        </w:rPr>
        <w:t>2 mars 2017</w:t>
      </w:r>
    </w:p>
    <w:p w:rsidR="00351129" w:rsidRPr="00B94E33" w:rsidRDefault="00351129" w:rsidP="00B94E33">
      <w:pPr>
        <w:jc w:val="center"/>
        <w:rPr>
          <w:lang w:val="fr-FR"/>
        </w:rPr>
      </w:pPr>
    </w:p>
    <w:p w:rsidR="00351129" w:rsidRPr="00B94E33" w:rsidRDefault="00351129" w:rsidP="00B94E33">
      <w:pPr>
        <w:jc w:val="center"/>
        <w:rPr>
          <w:lang w:val="fr-FR"/>
        </w:rPr>
      </w:pPr>
    </w:p>
    <w:p w:rsidR="00351129" w:rsidRPr="00B94E33" w:rsidRDefault="00351129" w:rsidP="00B94E33">
      <w:pPr>
        <w:jc w:val="center"/>
        <w:rPr>
          <w:lang w:val="fr-FR"/>
        </w:rPr>
      </w:pPr>
    </w:p>
    <w:p w:rsidR="00351129" w:rsidRPr="00B94E33" w:rsidRDefault="00351129" w:rsidP="00B94E33">
      <w:pPr>
        <w:jc w:val="center"/>
        <w:rPr>
          <w:lang w:val="fr-FR"/>
        </w:rPr>
      </w:pPr>
    </w:p>
    <w:p w:rsidR="00351129" w:rsidRPr="00B94E33" w:rsidRDefault="00351129" w:rsidP="00B94E33">
      <w:pPr>
        <w:jc w:val="center"/>
        <w:rPr>
          <w:lang w:val="fr-FR"/>
        </w:rPr>
      </w:pPr>
    </w:p>
    <w:p w:rsidR="00351129" w:rsidRPr="00B94E33" w:rsidRDefault="00351129" w:rsidP="00B94E33">
      <w:pPr>
        <w:jc w:val="center"/>
        <w:rPr>
          <w:lang w:val="fr-FR"/>
        </w:rPr>
      </w:pPr>
    </w:p>
    <w:p w:rsidR="008743BB" w:rsidRPr="00B94E33" w:rsidRDefault="008743BB" w:rsidP="00B94E33">
      <w:pPr>
        <w:pStyle w:val="ECHRPara"/>
        <w:ind w:firstLine="0"/>
        <w:jc w:val="left"/>
        <w:rPr>
          <w:lang w:val="fr-FR"/>
        </w:rPr>
        <w:sectPr w:rsidR="008743BB" w:rsidRPr="00B94E33" w:rsidSect="008743BB">
          <w:headerReference w:type="default" r:id="rId12"/>
          <w:headerReference w:type="first" r:id="rId13"/>
          <w:footerReference w:type="first" r:id="rId14"/>
          <w:footnotePr>
            <w:numRestart w:val="eachSect"/>
          </w:footnotePr>
          <w:pgSz w:w="11906" w:h="16838" w:code="9"/>
          <w:pgMar w:top="2274" w:right="2274" w:bottom="2274" w:left="2274" w:header="1701" w:footer="720" w:gutter="0"/>
          <w:pgNumType w:start="1"/>
          <w:cols w:space="720"/>
          <w:titlePg/>
          <w:docGrid w:linePitch="326"/>
        </w:sectPr>
      </w:pPr>
      <w:r w:rsidRPr="00B94E33">
        <w:rPr>
          <w:i/>
          <w:sz w:val="22"/>
          <w:lang w:val="fr-FR"/>
        </w:rPr>
        <w:t>Cet arrêt deviendra définitif dans les conditions définies à l</w:t>
      </w:r>
      <w:r w:rsidR="00B94E33" w:rsidRPr="00B94E33">
        <w:rPr>
          <w:i/>
          <w:sz w:val="22"/>
          <w:lang w:val="fr-FR"/>
        </w:rPr>
        <w:t>’</w:t>
      </w:r>
      <w:r w:rsidRPr="00B94E33">
        <w:rPr>
          <w:i/>
          <w:sz w:val="22"/>
          <w:lang w:val="fr-FR"/>
        </w:rPr>
        <w:t>article 44 § 2 de la Convention. Il pe</w:t>
      </w:r>
      <w:r w:rsidR="000B6440" w:rsidRPr="00B94E33">
        <w:rPr>
          <w:i/>
          <w:sz w:val="22"/>
          <w:lang w:val="fr-FR"/>
        </w:rPr>
        <w:t>ut subir des retouches de forme.</w:t>
      </w:r>
    </w:p>
    <w:p w:rsidR="00E77CB3" w:rsidRPr="00B94E33" w:rsidRDefault="00E77CB3" w:rsidP="00B94E33">
      <w:pPr>
        <w:pStyle w:val="JuCase"/>
        <w:rPr>
          <w:lang w:val="fr-FR"/>
        </w:rPr>
      </w:pPr>
      <w:r w:rsidRPr="00B94E33">
        <w:rPr>
          <w:lang w:val="fr-FR"/>
        </w:rPr>
        <w:lastRenderedPageBreak/>
        <w:t>En l</w:t>
      </w:r>
      <w:r w:rsidR="00B94E33" w:rsidRPr="00B94E33">
        <w:rPr>
          <w:lang w:val="fr-FR"/>
        </w:rPr>
        <w:t>’</w:t>
      </w:r>
      <w:r w:rsidRPr="00B94E33">
        <w:rPr>
          <w:lang w:val="fr-FR"/>
        </w:rPr>
        <w:t xml:space="preserve">affaire </w:t>
      </w:r>
      <w:r w:rsidR="00DA02C2" w:rsidRPr="00B94E33">
        <w:rPr>
          <w:lang w:val="fr-FR"/>
        </w:rPr>
        <w:t>Talpis c. Italie</w:t>
      </w:r>
      <w:r w:rsidRPr="00B94E33">
        <w:rPr>
          <w:lang w:val="fr-FR"/>
        </w:rPr>
        <w:t>,</w:t>
      </w:r>
    </w:p>
    <w:p w:rsidR="00E77CB3" w:rsidRPr="00B94E33" w:rsidRDefault="00E77CB3" w:rsidP="00B94E33">
      <w:pPr>
        <w:pStyle w:val="ECHRPara"/>
        <w:rPr>
          <w:lang w:val="fr-FR"/>
        </w:rPr>
      </w:pPr>
      <w:r w:rsidRPr="00B94E33">
        <w:rPr>
          <w:lang w:val="fr-FR"/>
        </w:rPr>
        <w:t>La Cour européenne des droits de l</w:t>
      </w:r>
      <w:r w:rsidR="00B94E33" w:rsidRPr="00B94E33">
        <w:rPr>
          <w:lang w:val="fr-FR"/>
        </w:rPr>
        <w:t>’</w:t>
      </w:r>
      <w:r w:rsidRPr="00B94E33">
        <w:rPr>
          <w:lang w:val="fr-FR"/>
        </w:rPr>
        <w:t>homme (</w:t>
      </w:r>
      <w:r w:rsidR="00DA02C2" w:rsidRPr="00B94E33">
        <w:rPr>
          <w:lang w:val="fr-FR"/>
        </w:rPr>
        <w:t>première section</w:t>
      </w:r>
      <w:r w:rsidRPr="00B94E33">
        <w:rPr>
          <w:lang w:val="fr-FR"/>
        </w:rPr>
        <w:t xml:space="preserve">), siégeant en </w:t>
      </w:r>
      <w:r w:rsidR="00DA02C2" w:rsidRPr="00B94E33">
        <w:rPr>
          <w:lang w:val="fr-FR"/>
        </w:rPr>
        <w:t>une chambre composée</w:t>
      </w:r>
      <w:r w:rsidRPr="00B94E33">
        <w:rPr>
          <w:lang w:val="fr-FR"/>
        </w:rPr>
        <w:t xml:space="preserve"> de :</w:t>
      </w:r>
    </w:p>
    <w:p w:rsidR="00E77CB3" w:rsidRPr="00B94E33" w:rsidRDefault="00351129" w:rsidP="00B94E33">
      <w:pPr>
        <w:pStyle w:val="ECHRDecisionBody"/>
        <w:rPr>
          <w:lang w:val="fr-FR"/>
        </w:rPr>
      </w:pPr>
      <w:r w:rsidRPr="00B94E33">
        <w:rPr>
          <w:lang w:val="fr-FR"/>
        </w:rPr>
        <w:tab/>
        <w:t>Mirjana Lazarova Trajkovska,</w:t>
      </w:r>
      <w:r w:rsidRPr="00B94E33">
        <w:rPr>
          <w:i/>
          <w:lang w:val="fr-FR"/>
        </w:rPr>
        <w:t xml:space="preserve"> présidente,</w:t>
      </w:r>
      <w:r w:rsidRPr="00B94E33">
        <w:rPr>
          <w:i/>
          <w:lang w:val="fr-FR"/>
        </w:rPr>
        <w:br/>
      </w:r>
      <w:r w:rsidRPr="00B94E33">
        <w:rPr>
          <w:lang w:val="fr-FR"/>
        </w:rPr>
        <w:tab/>
        <w:t>Guido Raimondi,</w:t>
      </w:r>
      <w:r w:rsidRPr="00B94E33">
        <w:rPr>
          <w:i/>
          <w:lang w:val="fr-FR"/>
        </w:rPr>
        <w:br/>
      </w:r>
      <w:r w:rsidRPr="00B94E33">
        <w:rPr>
          <w:lang w:val="fr-FR"/>
        </w:rPr>
        <w:tab/>
        <w:t>Kristina Pardalos,</w:t>
      </w:r>
      <w:r w:rsidRPr="00B94E33">
        <w:rPr>
          <w:i/>
          <w:lang w:val="fr-FR"/>
        </w:rPr>
        <w:br/>
      </w:r>
      <w:r w:rsidRPr="00B94E33">
        <w:rPr>
          <w:lang w:val="fr-FR"/>
        </w:rPr>
        <w:tab/>
        <w:t>Linos-Alexandre Sicilianos,</w:t>
      </w:r>
      <w:r w:rsidRPr="00B94E33">
        <w:rPr>
          <w:i/>
          <w:lang w:val="fr-FR"/>
        </w:rPr>
        <w:br/>
      </w:r>
      <w:r w:rsidRPr="00B94E33">
        <w:rPr>
          <w:lang w:val="fr-FR"/>
        </w:rPr>
        <w:tab/>
        <w:t>Robert Spano,</w:t>
      </w:r>
      <w:r w:rsidRPr="00B94E33">
        <w:rPr>
          <w:i/>
          <w:lang w:val="fr-FR"/>
        </w:rPr>
        <w:br/>
      </w:r>
      <w:r w:rsidRPr="00B94E33">
        <w:rPr>
          <w:lang w:val="fr-FR"/>
        </w:rPr>
        <w:tab/>
        <w:t>Armen Harutyunyan,</w:t>
      </w:r>
      <w:r w:rsidRPr="00B94E33">
        <w:rPr>
          <w:i/>
          <w:lang w:val="fr-FR"/>
        </w:rPr>
        <w:br/>
      </w:r>
      <w:r w:rsidRPr="00B94E33">
        <w:rPr>
          <w:lang w:val="fr-FR"/>
        </w:rPr>
        <w:tab/>
        <w:t>Tim Eicke,</w:t>
      </w:r>
      <w:r w:rsidRPr="00B94E33">
        <w:rPr>
          <w:i/>
          <w:lang w:val="fr-FR"/>
        </w:rPr>
        <w:t xml:space="preserve"> juges,</w:t>
      </w:r>
      <w:r w:rsidR="00E77CB3" w:rsidRPr="00B94E33">
        <w:rPr>
          <w:lang w:val="fr-FR"/>
        </w:rPr>
        <w:br/>
        <w:t xml:space="preserve">et de </w:t>
      </w:r>
      <w:r w:rsidR="00DA02C2" w:rsidRPr="00B94E33">
        <w:rPr>
          <w:lang w:val="fr-FR"/>
        </w:rPr>
        <w:t>Abel Campos</w:t>
      </w:r>
      <w:r w:rsidR="00E77CB3" w:rsidRPr="00B94E33">
        <w:rPr>
          <w:lang w:val="fr-FR"/>
        </w:rPr>
        <w:t xml:space="preserve">, </w:t>
      </w:r>
      <w:r w:rsidR="00DA02C2" w:rsidRPr="00B94E33">
        <w:rPr>
          <w:i/>
          <w:lang w:val="fr-FR"/>
        </w:rPr>
        <w:t>greffier</w:t>
      </w:r>
      <w:r w:rsidR="00DA02C2" w:rsidRPr="00B94E33">
        <w:rPr>
          <w:iCs/>
          <w:lang w:val="fr-FR"/>
        </w:rPr>
        <w:t xml:space="preserve"> </w:t>
      </w:r>
      <w:r w:rsidR="00DA02C2" w:rsidRPr="00B94E33">
        <w:rPr>
          <w:i/>
          <w:iCs/>
          <w:lang w:val="fr-FR"/>
        </w:rPr>
        <w:t>d</w:t>
      </w:r>
      <w:r w:rsidR="00DA02C2" w:rsidRPr="00B94E33">
        <w:rPr>
          <w:i/>
          <w:lang w:val="fr-FR"/>
        </w:rPr>
        <w:t>e section</w:t>
      </w:r>
      <w:r w:rsidR="00E77CB3" w:rsidRPr="00B94E33">
        <w:rPr>
          <w:lang w:val="fr-FR"/>
        </w:rPr>
        <w:t>,</w:t>
      </w:r>
    </w:p>
    <w:p w:rsidR="00E77CB3" w:rsidRPr="00B94E33" w:rsidRDefault="00E77CB3" w:rsidP="00B94E33">
      <w:pPr>
        <w:pStyle w:val="ECHRPara"/>
        <w:rPr>
          <w:lang w:val="fr-FR"/>
        </w:rPr>
      </w:pPr>
      <w:r w:rsidRPr="00B94E33">
        <w:rPr>
          <w:lang w:val="fr-FR"/>
        </w:rPr>
        <w:t>Après en avoir délibéré en chambre du conseil le</w:t>
      </w:r>
      <w:r w:rsidR="001B6359" w:rsidRPr="00B94E33">
        <w:rPr>
          <w:lang w:val="fr-FR"/>
        </w:rPr>
        <w:t>s</w:t>
      </w:r>
      <w:r w:rsidRPr="00B94E33">
        <w:rPr>
          <w:lang w:val="fr-FR"/>
        </w:rPr>
        <w:t xml:space="preserve"> </w:t>
      </w:r>
      <w:r w:rsidR="001B6359" w:rsidRPr="00B94E33">
        <w:rPr>
          <w:lang w:val="fr-FR"/>
        </w:rPr>
        <w:t xml:space="preserve">24 et </w:t>
      </w:r>
      <w:r w:rsidR="00351129" w:rsidRPr="00B94E33">
        <w:rPr>
          <w:lang w:val="fr-FR"/>
        </w:rPr>
        <w:t>31 janvier 2017</w:t>
      </w:r>
      <w:r w:rsidRPr="00B94E33">
        <w:rPr>
          <w:lang w:val="fr-FR"/>
        </w:rPr>
        <w:t>,</w:t>
      </w:r>
    </w:p>
    <w:p w:rsidR="00E77CB3" w:rsidRPr="00B94E33" w:rsidRDefault="00E77CB3" w:rsidP="00B94E33">
      <w:pPr>
        <w:pStyle w:val="ECHRPara"/>
        <w:rPr>
          <w:lang w:val="fr-FR"/>
        </w:rPr>
      </w:pPr>
      <w:r w:rsidRPr="00B94E33">
        <w:rPr>
          <w:lang w:val="fr-FR"/>
        </w:rPr>
        <w:t>Rend l</w:t>
      </w:r>
      <w:r w:rsidR="00B94E33" w:rsidRPr="00B94E33">
        <w:rPr>
          <w:lang w:val="fr-FR"/>
        </w:rPr>
        <w:t>’</w:t>
      </w:r>
      <w:r w:rsidRPr="00B94E33">
        <w:rPr>
          <w:lang w:val="fr-FR"/>
        </w:rPr>
        <w:t xml:space="preserve">arrêt que voici, adopté à cette </w:t>
      </w:r>
      <w:r w:rsidR="001B6359" w:rsidRPr="00B94E33">
        <w:rPr>
          <w:lang w:val="fr-FR"/>
        </w:rPr>
        <w:t xml:space="preserve">dernière </w:t>
      </w:r>
      <w:r w:rsidRPr="00B94E33">
        <w:rPr>
          <w:lang w:val="fr-FR"/>
        </w:rPr>
        <w:t>date :</w:t>
      </w:r>
    </w:p>
    <w:p w:rsidR="00E943A9" w:rsidRPr="00B94E33" w:rsidRDefault="00E943A9" w:rsidP="00B94E33">
      <w:pPr>
        <w:pStyle w:val="ECHRTitle1"/>
        <w:rPr>
          <w:lang w:val="fr-FR"/>
        </w:rPr>
      </w:pPr>
      <w:r w:rsidRPr="00B94E33">
        <w:rPr>
          <w:lang w:val="fr-FR"/>
        </w:rPr>
        <w:t>PROCÉDURE</w:t>
      </w:r>
    </w:p>
    <w:p w:rsidR="00E943A9" w:rsidRPr="00B94E33" w:rsidRDefault="00F53A6E"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1</w:t>
      </w:r>
      <w:r w:rsidRPr="00B94E33">
        <w:rPr>
          <w:lang w:val="fr-FR"/>
        </w:rPr>
        <w:fldChar w:fldCharType="end"/>
      </w:r>
      <w:r w:rsidRPr="00B94E33">
        <w:rPr>
          <w:lang w:val="fr-FR"/>
        </w:rPr>
        <w:t>.  </w:t>
      </w:r>
      <w:r w:rsidR="00E943A9" w:rsidRPr="00B94E33">
        <w:rPr>
          <w:lang w:val="fr-FR"/>
        </w:rPr>
        <w:t>À l</w:t>
      </w:r>
      <w:r w:rsidR="00B94E33" w:rsidRPr="00B94E33">
        <w:rPr>
          <w:lang w:val="fr-FR"/>
        </w:rPr>
        <w:t>’</w:t>
      </w:r>
      <w:r w:rsidR="00E943A9" w:rsidRPr="00B94E33">
        <w:rPr>
          <w:lang w:val="fr-FR"/>
        </w:rPr>
        <w:t>origine de l</w:t>
      </w:r>
      <w:r w:rsidR="00B94E33" w:rsidRPr="00B94E33">
        <w:rPr>
          <w:lang w:val="fr-FR"/>
        </w:rPr>
        <w:t>’</w:t>
      </w:r>
      <w:r w:rsidR="00E943A9" w:rsidRPr="00B94E33">
        <w:rPr>
          <w:lang w:val="fr-FR"/>
        </w:rPr>
        <w:t>affaire se trouve une requête (n</w:t>
      </w:r>
      <w:r w:rsidR="00E943A9" w:rsidRPr="00B94E33">
        <w:rPr>
          <w:vertAlign w:val="superscript"/>
          <w:lang w:val="fr-FR"/>
        </w:rPr>
        <w:t>o</w:t>
      </w:r>
      <w:r w:rsidR="00E943A9" w:rsidRPr="00B94E33">
        <w:rPr>
          <w:lang w:val="fr-FR"/>
        </w:rPr>
        <w:t xml:space="preserve"> 41237/14) dirigée contre la République italienne et dont une ressortissante roumaine</w:t>
      </w:r>
      <w:r w:rsidR="006A7330" w:rsidRPr="00B94E33">
        <w:rPr>
          <w:lang w:val="fr-FR"/>
        </w:rPr>
        <w:t xml:space="preserve"> et </w:t>
      </w:r>
      <w:r w:rsidR="009F3D94" w:rsidRPr="00B94E33">
        <w:rPr>
          <w:lang w:val="fr-FR"/>
        </w:rPr>
        <w:t>moldave,</w:t>
      </w:r>
      <w:r w:rsidR="00E943A9" w:rsidRPr="00B94E33">
        <w:rPr>
          <w:lang w:val="fr-FR"/>
        </w:rPr>
        <w:t xml:space="preserve"> M</w:t>
      </w:r>
      <w:r w:rsidR="00E943A9" w:rsidRPr="00B94E33">
        <w:rPr>
          <w:vertAlign w:val="superscript"/>
          <w:lang w:val="fr-FR"/>
        </w:rPr>
        <w:t>me</w:t>
      </w:r>
      <w:r w:rsidR="00715896" w:rsidRPr="00B94E33">
        <w:rPr>
          <w:lang w:val="fr-FR"/>
        </w:rPr>
        <w:t> </w:t>
      </w:r>
      <w:r w:rsidR="00E943A9" w:rsidRPr="00B94E33">
        <w:rPr>
          <w:lang w:val="fr-FR"/>
        </w:rPr>
        <w:t>Elisaveta Talpis (« la requérante »), a saisi la Cour le 23 mai 2014 en vertu de l</w:t>
      </w:r>
      <w:r w:rsidR="00B94E33" w:rsidRPr="00B94E33">
        <w:rPr>
          <w:lang w:val="fr-FR"/>
        </w:rPr>
        <w:t>’</w:t>
      </w:r>
      <w:r w:rsidR="00E943A9" w:rsidRPr="00B94E33">
        <w:rPr>
          <w:lang w:val="fr-FR"/>
        </w:rPr>
        <w:t>article 34 de la Convention de sauvegarde des droits de l</w:t>
      </w:r>
      <w:r w:rsidR="00B94E33" w:rsidRPr="00B94E33">
        <w:rPr>
          <w:lang w:val="fr-FR"/>
        </w:rPr>
        <w:t>’</w:t>
      </w:r>
      <w:r w:rsidR="00E943A9" w:rsidRPr="00B94E33">
        <w:rPr>
          <w:lang w:val="fr-FR"/>
        </w:rPr>
        <w:t>homme et des libertés fondamentales (« la Convention »).</w:t>
      </w:r>
    </w:p>
    <w:p w:rsidR="00E943A9" w:rsidRPr="00B94E33" w:rsidRDefault="00E943A9"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2</w:t>
      </w:r>
      <w:r w:rsidRPr="00B94E33">
        <w:rPr>
          <w:lang w:val="fr-FR"/>
        </w:rPr>
        <w:fldChar w:fldCharType="end"/>
      </w:r>
      <w:r w:rsidRPr="00B94E33">
        <w:rPr>
          <w:lang w:val="fr-FR"/>
        </w:rPr>
        <w:t>.  La requérante a été représentée par M</w:t>
      </w:r>
      <w:r w:rsidRPr="00B94E33">
        <w:rPr>
          <w:vertAlign w:val="superscript"/>
          <w:lang w:val="fr-FR"/>
        </w:rPr>
        <w:t>e</w:t>
      </w:r>
      <w:r w:rsidRPr="00B94E33">
        <w:rPr>
          <w:lang w:val="fr-FR"/>
        </w:rPr>
        <w:t> S. Menichetti, avocat à Rome. Le gouvernement italien (« le Gouvernement ») a été représenté par son agent, M</w:t>
      </w:r>
      <w:r w:rsidRPr="00B94E33">
        <w:rPr>
          <w:vertAlign w:val="superscript"/>
          <w:lang w:val="fr-FR"/>
        </w:rPr>
        <w:t>me </w:t>
      </w:r>
      <w:r w:rsidRPr="00B94E33">
        <w:rPr>
          <w:lang w:val="fr-FR"/>
        </w:rPr>
        <w:t>E. Spatafora.</w:t>
      </w:r>
    </w:p>
    <w:p w:rsidR="00E943A9" w:rsidRPr="00B94E33" w:rsidRDefault="00E943A9"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3</w:t>
      </w:r>
      <w:r w:rsidRPr="00B94E33">
        <w:rPr>
          <w:lang w:val="fr-FR"/>
        </w:rPr>
        <w:fldChar w:fldCharType="end"/>
      </w:r>
      <w:r w:rsidRPr="00B94E33">
        <w:rPr>
          <w:lang w:val="fr-FR"/>
        </w:rPr>
        <w:t>.  La requérante se plaignait notamment d</w:t>
      </w:r>
      <w:r w:rsidR="00B94E33" w:rsidRPr="00B94E33">
        <w:rPr>
          <w:lang w:val="fr-FR"/>
        </w:rPr>
        <w:t>’</w:t>
      </w:r>
      <w:r w:rsidR="009C03C8" w:rsidRPr="00B94E33">
        <w:rPr>
          <w:lang w:val="fr-FR"/>
        </w:rPr>
        <w:t>un</w:t>
      </w:r>
      <w:r w:rsidRPr="00B94E33">
        <w:rPr>
          <w:lang w:val="fr-FR"/>
        </w:rPr>
        <w:t xml:space="preserve"> manquement des autorités italiennes à leur devoir de protection contre les violen</w:t>
      </w:r>
      <w:r w:rsidR="00715896" w:rsidRPr="00B94E33">
        <w:rPr>
          <w:lang w:val="fr-FR"/>
        </w:rPr>
        <w:t xml:space="preserve">ces domestiques </w:t>
      </w:r>
      <w:r w:rsidR="008F15DD" w:rsidRPr="00B94E33">
        <w:rPr>
          <w:lang w:val="fr-FR"/>
        </w:rPr>
        <w:t>qu</w:t>
      </w:r>
      <w:r w:rsidR="00B94E33" w:rsidRPr="00B94E33">
        <w:rPr>
          <w:lang w:val="fr-FR"/>
        </w:rPr>
        <w:t>’</w:t>
      </w:r>
      <w:r w:rsidR="008F15DD" w:rsidRPr="00B94E33">
        <w:rPr>
          <w:lang w:val="fr-FR"/>
        </w:rPr>
        <w:t>elle aurait subies</w:t>
      </w:r>
      <w:r w:rsidRPr="00B94E33">
        <w:rPr>
          <w:lang w:val="fr-FR"/>
        </w:rPr>
        <w:t xml:space="preserve"> et qui </w:t>
      </w:r>
      <w:r w:rsidR="008F15DD" w:rsidRPr="00B94E33">
        <w:rPr>
          <w:lang w:val="fr-FR"/>
        </w:rPr>
        <w:t xml:space="preserve">auraient </w:t>
      </w:r>
      <w:r w:rsidRPr="00B94E33">
        <w:rPr>
          <w:lang w:val="fr-FR"/>
        </w:rPr>
        <w:t xml:space="preserve">conduit à la </w:t>
      </w:r>
      <w:r w:rsidR="00715896" w:rsidRPr="00B94E33">
        <w:rPr>
          <w:lang w:val="fr-FR"/>
        </w:rPr>
        <w:t>tentative de meurtre sur sa personne et à la mort</w:t>
      </w:r>
      <w:r w:rsidRPr="00B94E33">
        <w:rPr>
          <w:lang w:val="fr-FR"/>
        </w:rPr>
        <w:t xml:space="preserve"> de son fils.</w:t>
      </w:r>
    </w:p>
    <w:p w:rsidR="00E943A9" w:rsidRPr="00B94E33" w:rsidRDefault="00E943A9"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4</w:t>
      </w:r>
      <w:r w:rsidRPr="00B94E33">
        <w:rPr>
          <w:lang w:val="fr-FR"/>
        </w:rPr>
        <w:fldChar w:fldCharType="end"/>
      </w:r>
      <w:r w:rsidRPr="00B94E33">
        <w:rPr>
          <w:lang w:val="fr-FR"/>
        </w:rPr>
        <w:t xml:space="preserve">.  Le </w:t>
      </w:r>
      <w:r w:rsidRPr="00B94E33">
        <w:rPr>
          <w:szCs w:val="24"/>
          <w:lang w:val="fr-FR"/>
        </w:rPr>
        <w:t>26 août 2015</w:t>
      </w:r>
      <w:r w:rsidRPr="00B94E33">
        <w:rPr>
          <w:lang w:val="fr-FR"/>
        </w:rPr>
        <w:t>, la requête a été communiquée au Gouvernement.</w:t>
      </w:r>
      <w:r w:rsidR="006A7330" w:rsidRPr="00B94E33">
        <w:rPr>
          <w:lang w:val="fr-FR"/>
        </w:rPr>
        <w:t xml:space="preserve"> </w:t>
      </w:r>
      <w:r w:rsidR="0056713F" w:rsidRPr="00B94E33">
        <w:rPr>
          <w:lang w:val="fr-FR"/>
        </w:rPr>
        <w:t>L</w:t>
      </w:r>
      <w:r w:rsidR="006A7330" w:rsidRPr="00B94E33">
        <w:rPr>
          <w:lang w:val="fr-FR"/>
        </w:rPr>
        <w:t>es gouvernements roumain et moldave n</w:t>
      </w:r>
      <w:r w:rsidR="00B94E33" w:rsidRPr="00B94E33">
        <w:rPr>
          <w:lang w:val="fr-FR"/>
        </w:rPr>
        <w:t>’</w:t>
      </w:r>
      <w:r w:rsidR="006A7330" w:rsidRPr="00B94E33">
        <w:rPr>
          <w:lang w:val="fr-FR"/>
        </w:rPr>
        <w:t xml:space="preserve">ont pas </w:t>
      </w:r>
      <w:r w:rsidR="0056713F" w:rsidRPr="00B94E33">
        <w:rPr>
          <w:lang w:val="fr-FR"/>
        </w:rPr>
        <w:t>usé de leur droit d</w:t>
      </w:r>
      <w:r w:rsidR="00B94E33" w:rsidRPr="00B94E33">
        <w:rPr>
          <w:lang w:val="fr-FR"/>
        </w:rPr>
        <w:t>’</w:t>
      </w:r>
      <w:r w:rsidR="0056713F" w:rsidRPr="00B94E33">
        <w:rPr>
          <w:lang w:val="fr-FR"/>
        </w:rPr>
        <w:t>intervenir dans la procédure (article 36 § 1 de la Convention)</w:t>
      </w:r>
      <w:r w:rsidR="006A7330" w:rsidRPr="00B94E33">
        <w:rPr>
          <w:lang w:val="fr-FR"/>
        </w:rPr>
        <w:t>.</w:t>
      </w:r>
    </w:p>
    <w:p w:rsidR="00E943A9" w:rsidRPr="00B94E33" w:rsidRDefault="00E943A9" w:rsidP="00B94E33">
      <w:pPr>
        <w:pStyle w:val="ECHRPara"/>
        <w:rPr>
          <w:szCs w:val="24"/>
          <w:lang w:val="fr-FR" w:eastAsia="en-GB"/>
        </w:rPr>
      </w:pPr>
      <w:r w:rsidRPr="00B94E33">
        <w:rPr>
          <w:szCs w:val="24"/>
          <w:lang w:eastAsia="en-GB"/>
        </w:rPr>
        <w:fldChar w:fldCharType="begin"/>
      </w:r>
      <w:r w:rsidRPr="00B94E33">
        <w:rPr>
          <w:szCs w:val="24"/>
          <w:lang w:val="fr-FR" w:eastAsia="en-GB"/>
        </w:rPr>
        <w:instrText xml:space="preserve"> SEQ level0 \*arabic </w:instrText>
      </w:r>
      <w:r w:rsidRPr="00B94E33">
        <w:rPr>
          <w:szCs w:val="24"/>
          <w:lang w:eastAsia="en-GB"/>
        </w:rPr>
        <w:fldChar w:fldCharType="separate"/>
      </w:r>
      <w:r w:rsidR="00B94E33" w:rsidRPr="00B94E33">
        <w:rPr>
          <w:noProof/>
          <w:szCs w:val="24"/>
          <w:lang w:val="fr-FR" w:eastAsia="en-GB"/>
        </w:rPr>
        <w:t>5</w:t>
      </w:r>
      <w:r w:rsidRPr="00B94E33">
        <w:rPr>
          <w:szCs w:val="24"/>
          <w:lang w:eastAsia="en-GB"/>
        </w:rPr>
        <w:fldChar w:fldCharType="end"/>
      </w:r>
      <w:r w:rsidRPr="00B94E33">
        <w:rPr>
          <w:szCs w:val="24"/>
          <w:lang w:val="fr-FR" w:eastAsia="en-GB"/>
        </w:rPr>
        <w:t xml:space="preserve">.  Le Gouvernement objecte que les observations soumises par la requérante sont arrivées à la Cour </w:t>
      </w:r>
      <w:r w:rsidR="008F15DD" w:rsidRPr="00B94E33">
        <w:rPr>
          <w:szCs w:val="24"/>
          <w:lang w:val="fr-FR" w:eastAsia="en-GB"/>
        </w:rPr>
        <w:t>le</w:t>
      </w:r>
      <w:r w:rsidRPr="00B94E33">
        <w:rPr>
          <w:szCs w:val="24"/>
          <w:lang w:val="fr-FR" w:eastAsia="en-GB"/>
        </w:rPr>
        <w:t xml:space="preserve"> 15 mars 2016, </w:t>
      </w:r>
      <w:r w:rsidR="008F15DD" w:rsidRPr="00B94E33">
        <w:rPr>
          <w:szCs w:val="24"/>
          <w:lang w:val="fr-FR" w:eastAsia="en-GB"/>
        </w:rPr>
        <w:t>soit</w:t>
      </w:r>
      <w:r w:rsidR="00241F5B" w:rsidRPr="00B94E33">
        <w:rPr>
          <w:szCs w:val="24"/>
          <w:lang w:val="fr-FR" w:eastAsia="en-GB"/>
        </w:rPr>
        <w:t>, selon lui,</w:t>
      </w:r>
      <w:r w:rsidR="008F15DD" w:rsidRPr="00B94E33">
        <w:rPr>
          <w:szCs w:val="24"/>
          <w:lang w:val="fr-FR" w:eastAsia="en-GB"/>
        </w:rPr>
        <w:t xml:space="preserve"> </w:t>
      </w:r>
      <w:r w:rsidRPr="00B94E33">
        <w:rPr>
          <w:szCs w:val="24"/>
          <w:lang w:val="fr-FR" w:eastAsia="en-GB"/>
        </w:rPr>
        <w:t>après l</w:t>
      </w:r>
      <w:r w:rsidR="00B94E33" w:rsidRPr="00B94E33">
        <w:rPr>
          <w:szCs w:val="24"/>
          <w:lang w:val="fr-FR" w:eastAsia="en-GB"/>
        </w:rPr>
        <w:t>’</w:t>
      </w:r>
      <w:r w:rsidRPr="00B94E33">
        <w:rPr>
          <w:szCs w:val="24"/>
          <w:lang w:val="fr-FR" w:eastAsia="en-GB"/>
        </w:rPr>
        <w:t xml:space="preserve">échéance du délai fixé au 9 mars 2016. La Cour </w:t>
      </w:r>
      <w:r w:rsidR="008F15DD" w:rsidRPr="00B94E33">
        <w:rPr>
          <w:szCs w:val="24"/>
          <w:lang w:val="fr-FR" w:eastAsia="en-GB"/>
        </w:rPr>
        <w:t>constat</w:t>
      </w:r>
      <w:r w:rsidR="00D522EF" w:rsidRPr="00B94E33">
        <w:rPr>
          <w:szCs w:val="24"/>
          <w:lang w:val="fr-FR" w:eastAsia="en-GB"/>
        </w:rPr>
        <w:t>e</w:t>
      </w:r>
      <w:r w:rsidRPr="00B94E33">
        <w:rPr>
          <w:szCs w:val="24"/>
          <w:lang w:val="fr-FR" w:eastAsia="en-GB"/>
        </w:rPr>
        <w:t xml:space="preserve"> </w:t>
      </w:r>
      <w:r w:rsidR="0056713F" w:rsidRPr="00B94E33">
        <w:rPr>
          <w:szCs w:val="24"/>
          <w:lang w:val="fr-FR" w:eastAsia="en-GB"/>
        </w:rPr>
        <w:t xml:space="preserve">toutefois </w:t>
      </w:r>
      <w:r w:rsidRPr="00B94E33">
        <w:rPr>
          <w:szCs w:val="24"/>
          <w:lang w:val="fr-FR" w:eastAsia="en-GB"/>
        </w:rPr>
        <w:t xml:space="preserve">que les observations ont été envoyées le 9 mars 2016 </w:t>
      </w:r>
      <w:r w:rsidR="00D522EF" w:rsidRPr="00B94E33">
        <w:rPr>
          <w:szCs w:val="24"/>
          <w:lang w:val="fr-FR" w:eastAsia="en-GB"/>
        </w:rPr>
        <w:t>conformément à l</w:t>
      </w:r>
      <w:r w:rsidR="00B94E33" w:rsidRPr="00B94E33">
        <w:rPr>
          <w:szCs w:val="24"/>
          <w:lang w:val="fr-FR" w:eastAsia="en-GB"/>
        </w:rPr>
        <w:t>’</w:t>
      </w:r>
      <w:r w:rsidR="00D522EF" w:rsidRPr="00B94E33">
        <w:rPr>
          <w:szCs w:val="24"/>
          <w:lang w:val="fr-FR" w:eastAsia="en-GB"/>
        </w:rPr>
        <w:t>article</w:t>
      </w:r>
      <w:r w:rsidR="009A4363" w:rsidRPr="00B94E33">
        <w:rPr>
          <w:szCs w:val="24"/>
          <w:lang w:val="fr-FR" w:eastAsia="en-GB"/>
        </w:rPr>
        <w:t xml:space="preserve"> </w:t>
      </w:r>
      <w:r w:rsidR="00D522EF" w:rsidRPr="00B94E33">
        <w:rPr>
          <w:szCs w:val="24"/>
          <w:lang w:val="fr-FR" w:eastAsia="en-GB"/>
        </w:rPr>
        <w:t>38</w:t>
      </w:r>
      <w:r w:rsidR="009A4363" w:rsidRPr="00B94E33">
        <w:rPr>
          <w:szCs w:val="24"/>
          <w:lang w:val="fr-FR" w:eastAsia="en-GB"/>
        </w:rPr>
        <w:t xml:space="preserve"> </w:t>
      </w:r>
      <w:r w:rsidR="00D522EF" w:rsidRPr="00B94E33">
        <w:rPr>
          <w:szCs w:val="24"/>
          <w:lang w:val="fr-FR" w:eastAsia="en-GB"/>
        </w:rPr>
        <w:t>§</w:t>
      </w:r>
      <w:r w:rsidR="006B1D94" w:rsidRPr="00B94E33">
        <w:rPr>
          <w:szCs w:val="24"/>
          <w:lang w:val="fr-FR" w:eastAsia="en-GB"/>
        </w:rPr>
        <w:t> </w:t>
      </w:r>
      <w:r w:rsidR="00D522EF" w:rsidRPr="00B94E33">
        <w:rPr>
          <w:szCs w:val="24"/>
          <w:lang w:val="fr-FR" w:eastAsia="en-GB"/>
        </w:rPr>
        <w:t>2 du règlement.</w:t>
      </w:r>
    </w:p>
    <w:p w:rsidR="00E943A9" w:rsidRPr="00B94E33" w:rsidRDefault="00E943A9" w:rsidP="00B94E33">
      <w:pPr>
        <w:pStyle w:val="ECHRTitle1"/>
        <w:tabs>
          <w:tab w:val="left" w:pos="5387"/>
        </w:tabs>
        <w:rPr>
          <w:lang w:val="fr-FR"/>
        </w:rPr>
      </w:pPr>
      <w:r w:rsidRPr="00B94E33">
        <w:rPr>
          <w:lang w:val="fr-FR"/>
        </w:rPr>
        <w:lastRenderedPageBreak/>
        <w:t>EN FAIT</w:t>
      </w:r>
    </w:p>
    <w:p w:rsidR="00E943A9" w:rsidRPr="00B94E33" w:rsidRDefault="00E943A9" w:rsidP="00B94E33">
      <w:pPr>
        <w:pStyle w:val="ECHRHeading1"/>
        <w:rPr>
          <w:lang w:val="fr-FR"/>
        </w:rPr>
      </w:pPr>
      <w:r w:rsidRPr="00B94E33">
        <w:rPr>
          <w:lang w:val="fr-FR"/>
        </w:rPr>
        <w:t>I.  LES CIRCONSTANCES DE L</w:t>
      </w:r>
      <w:r w:rsidR="00B94E33" w:rsidRPr="00B94E33">
        <w:rPr>
          <w:lang w:val="fr-FR"/>
        </w:rPr>
        <w:t>’</w:t>
      </w:r>
      <w:r w:rsidRPr="00B94E33">
        <w:rPr>
          <w:lang w:val="fr-FR"/>
        </w:rPr>
        <w:t>ESPÈCE</w:t>
      </w:r>
    </w:p>
    <w:p w:rsidR="00E943A9" w:rsidRPr="00B94E33" w:rsidRDefault="00F76F5A" w:rsidP="00B94E33">
      <w:pPr>
        <w:pStyle w:val="ECHRPara"/>
        <w:rPr>
          <w:lang w:val="fr-FR"/>
        </w:rPr>
      </w:pPr>
      <w:r w:rsidRPr="00B94E33">
        <w:fldChar w:fldCharType="begin"/>
      </w:r>
      <w:r w:rsidRPr="00B94E33">
        <w:rPr>
          <w:lang w:val="fr-FR"/>
        </w:rPr>
        <w:instrText xml:space="preserve"> SEQ level0 \*arabic </w:instrText>
      </w:r>
      <w:r w:rsidRPr="00B94E33">
        <w:fldChar w:fldCharType="separate"/>
      </w:r>
      <w:r w:rsidR="00B94E33" w:rsidRPr="00B94E33">
        <w:rPr>
          <w:noProof/>
          <w:lang w:val="fr-FR"/>
        </w:rPr>
        <w:t>6</w:t>
      </w:r>
      <w:r w:rsidRPr="00B94E33">
        <w:fldChar w:fldCharType="end"/>
      </w:r>
      <w:r w:rsidR="00715896" w:rsidRPr="00B94E33">
        <w:rPr>
          <w:lang w:val="fr-FR"/>
        </w:rPr>
        <w:t>.</w:t>
      </w:r>
      <w:r w:rsidR="00450BF4" w:rsidRPr="00B94E33">
        <w:rPr>
          <w:lang w:val="fr-FR"/>
        </w:rPr>
        <w:t>  </w:t>
      </w:r>
      <w:r w:rsidR="00E943A9" w:rsidRPr="00B94E33">
        <w:rPr>
          <w:lang w:val="fr-FR"/>
        </w:rPr>
        <w:t>La requérante est née en 1965 et réside à Remanzacco.</w:t>
      </w:r>
    </w:p>
    <w:p w:rsidR="00E943A9" w:rsidRPr="00B94E33" w:rsidRDefault="00F76F5A" w:rsidP="00B94E33">
      <w:pPr>
        <w:pStyle w:val="ECHRPara"/>
        <w:rPr>
          <w:lang w:val="fr-FR"/>
        </w:rPr>
      </w:pPr>
      <w:r w:rsidRPr="00B94E33">
        <w:fldChar w:fldCharType="begin"/>
      </w:r>
      <w:r w:rsidRPr="00B94E33">
        <w:rPr>
          <w:lang w:val="fr-FR"/>
        </w:rPr>
        <w:instrText xml:space="preserve"> SEQ level0 \*arabic </w:instrText>
      </w:r>
      <w:r w:rsidRPr="00B94E33">
        <w:fldChar w:fldCharType="separate"/>
      </w:r>
      <w:r w:rsidR="00B94E33" w:rsidRPr="00B94E33">
        <w:rPr>
          <w:noProof/>
          <w:lang w:val="fr-FR"/>
        </w:rPr>
        <w:t>7</w:t>
      </w:r>
      <w:r w:rsidRPr="00B94E33">
        <w:fldChar w:fldCharType="end"/>
      </w:r>
      <w:r w:rsidR="00E943A9" w:rsidRPr="00B94E33">
        <w:rPr>
          <w:lang w:val="fr-FR"/>
        </w:rPr>
        <w:t xml:space="preserve">.  La requérante </w:t>
      </w:r>
      <w:r w:rsidR="007D5CEE" w:rsidRPr="00B94E33">
        <w:rPr>
          <w:lang w:val="fr-FR"/>
        </w:rPr>
        <w:t>se maria</w:t>
      </w:r>
      <w:r w:rsidR="00E943A9" w:rsidRPr="00B94E33">
        <w:rPr>
          <w:lang w:val="fr-FR"/>
        </w:rPr>
        <w:t xml:space="preserve"> avec A.T.</w:t>
      </w:r>
      <w:r w:rsidR="008F15DD" w:rsidRPr="00B94E33">
        <w:rPr>
          <w:lang w:val="fr-FR"/>
        </w:rPr>
        <w:t>,</w:t>
      </w:r>
      <w:r w:rsidR="00E943A9" w:rsidRPr="00B94E33">
        <w:rPr>
          <w:lang w:val="fr-FR"/>
        </w:rPr>
        <w:t xml:space="preserve"> un ressortissant moldave</w:t>
      </w:r>
      <w:r w:rsidR="008F15DD" w:rsidRPr="00B94E33">
        <w:rPr>
          <w:lang w:val="fr-FR"/>
        </w:rPr>
        <w:t>,</w:t>
      </w:r>
      <w:r w:rsidR="00E943A9" w:rsidRPr="00B94E33">
        <w:rPr>
          <w:lang w:val="fr-FR"/>
        </w:rPr>
        <w:t xml:space="preserve"> et </w:t>
      </w:r>
      <w:r w:rsidR="007D5CEE" w:rsidRPr="00B94E33">
        <w:rPr>
          <w:lang w:val="fr-FR"/>
        </w:rPr>
        <w:t xml:space="preserve">eut </w:t>
      </w:r>
      <w:r w:rsidR="00E943A9" w:rsidRPr="00B94E33">
        <w:rPr>
          <w:lang w:val="fr-FR"/>
        </w:rPr>
        <w:t>deux enfants de cette union : une fille</w:t>
      </w:r>
      <w:r w:rsidR="008F15DD" w:rsidRPr="00B94E33">
        <w:rPr>
          <w:lang w:val="fr-FR"/>
        </w:rPr>
        <w:t>,</w:t>
      </w:r>
      <w:r w:rsidR="00E943A9" w:rsidRPr="00B94E33">
        <w:rPr>
          <w:lang w:val="fr-FR"/>
        </w:rPr>
        <w:t xml:space="preserve"> née en 1992</w:t>
      </w:r>
      <w:r w:rsidR="008F15DD" w:rsidRPr="00B94E33">
        <w:rPr>
          <w:lang w:val="fr-FR"/>
        </w:rPr>
        <w:t>,</w:t>
      </w:r>
      <w:r w:rsidR="00E943A9" w:rsidRPr="00B94E33">
        <w:rPr>
          <w:lang w:val="fr-FR"/>
        </w:rPr>
        <w:t xml:space="preserve"> et un fils</w:t>
      </w:r>
      <w:r w:rsidR="008F15DD" w:rsidRPr="00B94E33">
        <w:rPr>
          <w:lang w:val="fr-FR"/>
        </w:rPr>
        <w:t>,</w:t>
      </w:r>
      <w:r w:rsidR="00E943A9" w:rsidRPr="00B94E33">
        <w:rPr>
          <w:lang w:val="fr-FR"/>
        </w:rPr>
        <w:t xml:space="preserve"> né en 1998.</w:t>
      </w:r>
    </w:p>
    <w:p w:rsidR="00E943A9" w:rsidRPr="00B94E33" w:rsidRDefault="00F76F5A" w:rsidP="00B94E33">
      <w:pPr>
        <w:pStyle w:val="ECHRPara"/>
        <w:rPr>
          <w:lang w:val="fr-FR"/>
        </w:rPr>
      </w:pPr>
      <w:r w:rsidRPr="00B94E33">
        <w:fldChar w:fldCharType="begin"/>
      </w:r>
      <w:r w:rsidRPr="00B94E33">
        <w:rPr>
          <w:lang w:val="fr-FR"/>
        </w:rPr>
        <w:instrText xml:space="preserve"> SEQ level0 \*arabic </w:instrText>
      </w:r>
      <w:r w:rsidRPr="00B94E33">
        <w:fldChar w:fldCharType="separate"/>
      </w:r>
      <w:r w:rsidR="00B94E33" w:rsidRPr="00B94E33">
        <w:rPr>
          <w:noProof/>
          <w:lang w:val="fr-FR"/>
        </w:rPr>
        <w:t>8</w:t>
      </w:r>
      <w:r w:rsidRPr="00B94E33">
        <w:fldChar w:fldCharType="end"/>
      </w:r>
      <w:r w:rsidR="00E943A9" w:rsidRPr="00B94E33">
        <w:rPr>
          <w:lang w:val="fr-FR"/>
        </w:rPr>
        <w:t>.  Après le</w:t>
      </w:r>
      <w:r w:rsidR="008F15DD" w:rsidRPr="00B94E33">
        <w:rPr>
          <w:lang w:val="fr-FR"/>
        </w:rPr>
        <w:t>ur</w:t>
      </w:r>
      <w:r w:rsidR="00E943A9" w:rsidRPr="00B94E33">
        <w:rPr>
          <w:lang w:val="fr-FR"/>
        </w:rPr>
        <w:t xml:space="preserve"> mariage, le mari de la requérant</w:t>
      </w:r>
      <w:r w:rsidR="008F15DD" w:rsidRPr="00B94E33">
        <w:rPr>
          <w:lang w:val="fr-FR"/>
        </w:rPr>
        <w:t>e</w:t>
      </w:r>
      <w:r w:rsidR="00E943A9" w:rsidRPr="00B94E33">
        <w:rPr>
          <w:lang w:val="fr-FR"/>
        </w:rPr>
        <w:t xml:space="preserve"> commença</w:t>
      </w:r>
      <w:r w:rsidR="00D522EF" w:rsidRPr="00B94E33">
        <w:rPr>
          <w:lang w:val="fr-FR"/>
        </w:rPr>
        <w:t xml:space="preserve">, selon elle, </w:t>
      </w:r>
      <w:r w:rsidR="00E943A9" w:rsidRPr="00B94E33">
        <w:rPr>
          <w:lang w:val="fr-FR"/>
        </w:rPr>
        <w:t xml:space="preserve">à la frapper. </w:t>
      </w:r>
      <w:r w:rsidR="00241F5B" w:rsidRPr="00B94E33">
        <w:rPr>
          <w:lang w:val="fr-FR"/>
        </w:rPr>
        <w:t>Cependant, e</w:t>
      </w:r>
      <w:r w:rsidR="00E943A9" w:rsidRPr="00B94E33">
        <w:rPr>
          <w:lang w:val="fr-FR"/>
        </w:rPr>
        <w:t xml:space="preserve">n 2011, </w:t>
      </w:r>
      <w:r w:rsidR="00D522EF" w:rsidRPr="00B94E33">
        <w:rPr>
          <w:lang w:val="fr-FR"/>
        </w:rPr>
        <w:t>la requérante</w:t>
      </w:r>
      <w:r w:rsidR="00E943A9" w:rsidRPr="00B94E33">
        <w:rPr>
          <w:lang w:val="fr-FR"/>
        </w:rPr>
        <w:t xml:space="preserve"> </w:t>
      </w:r>
      <w:r w:rsidR="00241F5B" w:rsidRPr="00B94E33">
        <w:rPr>
          <w:lang w:val="fr-FR"/>
        </w:rPr>
        <w:t>suivit</w:t>
      </w:r>
      <w:r w:rsidR="00E943A9" w:rsidRPr="00B94E33">
        <w:rPr>
          <w:lang w:val="fr-FR"/>
        </w:rPr>
        <w:t xml:space="preserve"> son mari</w:t>
      </w:r>
      <w:r w:rsidR="00715896" w:rsidRPr="00B94E33">
        <w:rPr>
          <w:lang w:val="fr-FR"/>
        </w:rPr>
        <w:t xml:space="preserve"> </w:t>
      </w:r>
      <w:r w:rsidR="00E943A9" w:rsidRPr="00B94E33">
        <w:rPr>
          <w:lang w:val="fr-FR"/>
        </w:rPr>
        <w:t xml:space="preserve">en </w:t>
      </w:r>
      <w:r w:rsidR="00241F5B" w:rsidRPr="00B94E33">
        <w:rPr>
          <w:lang w:val="fr-FR"/>
        </w:rPr>
        <w:t xml:space="preserve">Italie afin de </w:t>
      </w:r>
      <w:r w:rsidR="003571E8" w:rsidRPr="00B94E33">
        <w:rPr>
          <w:lang w:val="fr-FR"/>
        </w:rPr>
        <w:t>donner à ses enfants la chance d</w:t>
      </w:r>
      <w:r w:rsidR="00B94E33" w:rsidRPr="00B94E33">
        <w:rPr>
          <w:lang w:val="fr-FR"/>
        </w:rPr>
        <w:t>’</w:t>
      </w:r>
      <w:r w:rsidR="00241F5B" w:rsidRPr="00B94E33">
        <w:rPr>
          <w:lang w:val="fr-FR"/>
        </w:rPr>
        <w:t>un avenir plus serein</w:t>
      </w:r>
      <w:r w:rsidR="00E943A9" w:rsidRPr="00B94E33">
        <w:rPr>
          <w:lang w:val="fr-FR"/>
        </w:rPr>
        <w:t>.</w:t>
      </w:r>
    </w:p>
    <w:p w:rsidR="00E943A9" w:rsidRPr="00B94E33" w:rsidRDefault="00971F5F" w:rsidP="00B94E33">
      <w:pPr>
        <w:pStyle w:val="ECHRHeading2"/>
        <w:rPr>
          <w:lang w:val="fr-FR"/>
        </w:rPr>
      </w:pPr>
      <w:r w:rsidRPr="00B94E33">
        <w:rPr>
          <w:lang w:val="fr-FR"/>
        </w:rPr>
        <w:t>1</w:t>
      </w:r>
      <w:r w:rsidR="00E943A9" w:rsidRPr="00B94E33">
        <w:rPr>
          <w:lang w:val="fr-FR"/>
        </w:rPr>
        <w:t>.</w:t>
      </w:r>
      <w:r w:rsidR="002B39AA" w:rsidRPr="00B94E33">
        <w:rPr>
          <w:lang w:val="fr-FR"/>
        </w:rPr>
        <w:t>  </w:t>
      </w:r>
      <w:r w:rsidR="00E943A9" w:rsidRPr="00B94E33">
        <w:rPr>
          <w:lang w:val="fr-FR"/>
        </w:rPr>
        <w:t>La première agression commise par A.T. sur la requérante et sa fille</w:t>
      </w:r>
    </w:p>
    <w:p w:rsidR="00E943A9" w:rsidRPr="00B94E33" w:rsidRDefault="00F76F5A" w:rsidP="00B94E33">
      <w:pPr>
        <w:pStyle w:val="ECHRPara"/>
        <w:rPr>
          <w:lang w:val="fr-FR"/>
        </w:rPr>
      </w:pPr>
      <w:r w:rsidRPr="00B94E33">
        <w:fldChar w:fldCharType="begin"/>
      </w:r>
      <w:r w:rsidRPr="00B94E33">
        <w:rPr>
          <w:lang w:val="fr-FR"/>
        </w:rPr>
        <w:instrText xml:space="preserve"> SEQ level0 \*arabic </w:instrText>
      </w:r>
      <w:r w:rsidRPr="00B94E33">
        <w:fldChar w:fldCharType="separate"/>
      </w:r>
      <w:r w:rsidR="00B94E33" w:rsidRPr="00B94E33">
        <w:rPr>
          <w:noProof/>
          <w:lang w:val="fr-FR"/>
        </w:rPr>
        <w:t>9</w:t>
      </w:r>
      <w:r w:rsidRPr="00B94E33">
        <w:fldChar w:fldCharType="end"/>
      </w:r>
      <w:r w:rsidR="00E943A9" w:rsidRPr="00B94E33">
        <w:rPr>
          <w:lang w:val="fr-FR"/>
        </w:rPr>
        <w:t xml:space="preserve">.  La requérante </w:t>
      </w:r>
      <w:r w:rsidR="008F15DD" w:rsidRPr="00B94E33">
        <w:rPr>
          <w:lang w:val="fr-FR"/>
        </w:rPr>
        <w:t xml:space="preserve">soutient </w:t>
      </w:r>
      <w:r w:rsidR="00E943A9" w:rsidRPr="00B94E33">
        <w:rPr>
          <w:lang w:val="fr-FR"/>
        </w:rPr>
        <w:t>qu</w:t>
      </w:r>
      <w:r w:rsidR="00627845" w:rsidRPr="00B94E33">
        <w:rPr>
          <w:lang w:val="fr-FR"/>
        </w:rPr>
        <w:t>e son mari, alcoolique, la</w:t>
      </w:r>
      <w:r w:rsidR="009C03C8" w:rsidRPr="00B94E33">
        <w:rPr>
          <w:lang w:val="fr-FR"/>
        </w:rPr>
        <w:t xml:space="preserve"> </w:t>
      </w:r>
      <w:r w:rsidR="00E943A9" w:rsidRPr="00B94E33">
        <w:rPr>
          <w:lang w:val="fr-FR"/>
        </w:rPr>
        <w:t>maltrait</w:t>
      </w:r>
      <w:r w:rsidR="00627845" w:rsidRPr="00B94E33">
        <w:rPr>
          <w:lang w:val="fr-FR"/>
        </w:rPr>
        <w:t>ait</w:t>
      </w:r>
      <w:r w:rsidR="00E943A9" w:rsidRPr="00B94E33">
        <w:rPr>
          <w:lang w:val="fr-FR"/>
        </w:rPr>
        <w:t xml:space="preserve"> physiquement</w:t>
      </w:r>
      <w:r w:rsidR="00627845" w:rsidRPr="00B94E33">
        <w:rPr>
          <w:lang w:val="fr-FR"/>
        </w:rPr>
        <w:t xml:space="preserve"> depuis longtemps lorsque, le</w:t>
      </w:r>
      <w:r w:rsidR="00E943A9" w:rsidRPr="00B94E33">
        <w:rPr>
          <w:lang w:val="fr-FR"/>
        </w:rPr>
        <w:t xml:space="preserve"> 2 juin 2012, </w:t>
      </w:r>
      <w:r w:rsidR="007D5CEE" w:rsidRPr="00B94E33">
        <w:rPr>
          <w:lang w:val="fr-FR"/>
        </w:rPr>
        <w:t>elle</w:t>
      </w:r>
      <w:r w:rsidR="00E943A9" w:rsidRPr="00B94E33">
        <w:rPr>
          <w:lang w:val="fr-FR"/>
        </w:rPr>
        <w:t xml:space="preserve"> demanda l</w:t>
      </w:r>
      <w:r w:rsidR="00B94E33" w:rsidRPr="00B94E33">
        <w:rPr>
          <w:lang w:val="fr-FR"/>
        </w:rPr>
        <w:t>’</w:t>
      </w:r>
      <w:r w:rsidR="00E943A9" w:rsidRPr="00B94E33">
        <w:rPr>
          <w:lang w:val="fr-FR"/>
        </w:rPr>
        <w:t xml:space="preserve">intervention des gendarmes </w:t>
      </w:r>
      <w:r w:rsidR="008F15DD" w:rsidRPr="00B94E33">
        <w:rPr>
          <w:lang w:val="fr-FR"/>
        </w:rPr>
        <w:t xml:space="preserve">à la </w:t>
      </w:r>
      <w:r w:rsidR="00E943A9" w:rsidRPr="00B94E33">
        <w:rPr>
          <w:lang w:val="fr-FR"/>
        </w:rPr>
        <w:t xml:space="preserve">suite </w:t>
      </w:r>
      <w:r w:rsidR="008F15DD" w:rsidRPr="00B94E33">
        <w:rPr>
          <w:lang w:val="fr-FR"/>
        </w:rPr>
        <w:t xml:space="preserve">des </w:t>
      </w:r>
      <w:r w:rsidR="00E943A9" w:rsidRPr="00B94E33">
        <w:rPr>
          <w:lang w:val="fr-FR"/>
        </w:rPr>
        <w:t xml:space="preserve">coups </w:t>
      </w:r>
      <w:r w:rsidR="009C03C8" w:rsidRPr="00B94E33">
        <w:rPr>
          <w:lang w:val="fr-FR"/>
        </w:rPr>
        <w:t>que A.T. leur aurait</w:t>
      </w:r>
      <w:r w:rsidR="00E943A9" w:rsidRPr="00B94E33">
        <w:rPr>
          <w:lang w:val="fr-FR"/>
        </w:rPr>
        <w:t xml:space="preserve"> infligés</w:t>
      </w:r>
      <w:r w:rsidR="008F15DD" w:rsidRPr="00B94E33">
        <w:rPr>
          <w:lang w:val="fr-FR"/>
        </w:rPr>
        <w:t>,</w:t>
      </w:r>
      <w:r w:rsidR="00E943A9" w:rsidRPr="00B94E33">
        <w:rPr>
          <w:lang w:val="fr-FR"/>
        </w:rPr>
        <w:t xml:space="preserve"> </w:t>
      </w:r>
      <w:r w:rsidR="009C03C8" w:rsidRPr="00B94E33">
        <w:rPr>
          <w:lang w:val="fr-FR"/>
        </w:rPr>
        <w:t>à elle-même et à</w:t>
      </w:r>
      <w:r w:rsidR="00E943A9" w:rsidRPr="00B94E33">
        <w:rPr>
          <w:lang w:val="fr-FR"/>
        </w:rPr>
        <w:t xml:space="preserve"> sa fille.</w:t>
      </w:r>
    </w:p>
    <w:bookmarkStart w:id="2" w:name="para11"/>
    <w:p w:rsidR="00E943A9" w:rsidRPr="00B94E33" w:rsidRDefault="00E943A9" w:rsidP="00B94E33">
      <w:pPr>
        <w:pStyle w:val="ECHRPara"/>
        <w:rPr>
          <w:lang w:val="fr-FR"/>
        </w:rPr>
      </w:pPr>
      <w:r w:rsidRPr="00B94E33">
        <w:fldChar w:fldCharType="begin"/>
      </w:r>
      <w:r w:rsidRPr="00B94E33">
        <w:rPr>
          <w:lang w:val="fr-FR"/>
        </w:rPr>
        <w:instrText xml:space="preserve"> SEQ level0 \*arabic </w:instrText>
      </w:r>
      <w:r w:rsidRPr="00B94E33">
        <w:fldChar w:fldCharType="separate"/>
      </w:r>
      <w:r w:rsidR="00B94E33" w:rsidRPr="00B94E33">
        <w:rPr>
          <w:noProof/>
          <w:lang w:val="fr-FR"/>
        </w:rPr>
        <w:t>10</w:t>
      </w:r>
      <w:r w:rsidRPr="00B94E33">
        <w:fldChar w:fldCharType="end"/>
      </w:r>
      <w:bookmarkEnd w:id="2"/>
      <w:r w:rsidRPr="00B94E33">
        <w:rPr>
          <w:lang w:val="fr-FR"/>
        </w:rPr>
        <w:t>.  </w:t>
      </w:r>
      <w:r w:rsidR="008F15DD" w:rsidRPr="00B94E33">
        <w:rPr>
          <w:lang w:val="fr-FR"/>
        </w:rPr>
        <w:t>À</w:t>
      </w:r>
      <w:r w:rsidRPr="00B94E33">
        <w:rPr>
          <w:lang w:val="fr-FR"/>
        </w:rPr>
        <w:t xml:space="preserve"> l</w:t>
      </w:r>
      <w:r w:rsidR="00B94E33" w:rsidRPr="00B94E33">
        <w:rPr>
          <w:lang w:val="fr-FR"/>
        </w:rPr>
        <w:t>’</w:t>
      </w:r>
      <w:r w:rsidRPr="00B94E33">
        <w:rPr>
          <w:lang w:val="fr-FR"/>
        </w:rPr>
        <w:t>arrivée des gendarmes</w:t>
      </w:r>
      <w:r w:rsidR="008F15DD" w:rsidRPr="00B94E33">
        <w:rPr>
          <w:lang w:val="fr-FR"/>
        </w:rPr>
        <w:t>,</w:t>
      </w:r>
      <w:r w:rsidRPr="00B94E33">
        <w:rPr>
          <w:lang w:val="fr-FR"/>
        </w:rPr>
        <w:t xml:space="preserve"> A.T. était parti </w:t>
      </w:r>
      <w:r w:rsidR="007D5CEE" w:rsidRPr="00B94E33">
        <w:rPr>
          <w:lang w:val="fr-FR"/>
        </w:rPr>
        <w:t>du domicile familial</w:t>
      </w:r>
      <w:r w:rsidR="00626B9B" w:rsidRPr="00B94E33">
        <w:rPr>
          <w:lang w:val="fr-FR"/>
        </w:rPr>
        <w:t>. Il</w:t>
      </w:r>
      <w:r w:rsidRPr="00B94E33">
        <w:rPr>
          <w:lang w:val="fr-FR"/>
        </w:rPr>
        <w:t xml:space="preserve"> </w:t>
      </w:r>
      <w:r w:rsidR="008F15DD" w:rsidRPr="00B94E33">
        <w:rPr>
          <w:lang w:val="fr-FR"/>
        </w:rPr>
        <w:t>fut</w:t>
      </w:r>
      <w:r w:rsidRPr="00B94E33">
        <w:rPr>
          <w:lang w:val="fr-FR"/>
        </w:rPr>
        <w:t xml:space="preserve"> retrouvé dans la rue en état d</w:t>
      </w:r>
      <w:r w:rsidR="00B94E33" w:rsidRPr="00B94E33">
        <w:rPr>
          <w:lang w:val="fr-FR"/>
        </w:rPr>
        <w:t>’</w:t>
      </w:r>
      <w:r w:rsidRPr="00B94E33">
        <w:rPr>
          <w:lang w:val="fr-FR"/>
        </w:rPr>
        <w:t>ébriété</w:t>
      </w:r>
      <w:r w:rsidR="00626B9B" w:rsidRPr="00B94E33">
        <w:rPr>
          <w:lang w:val="fr-FR"/>
        </w:rPr>
        <w:t>,</w:t>
      </w:r>
      <w:r w:rsidRPr="00B94E33">
        <w:rPr>
          <w:lang w:val="fr-FR"/>
        </w:rPr>
        <w:t xml:space="preserve"> </w:t>
      </w:r>
      <w:r w:rsidR="00627845" w:rsidRPr="00B94E33">
        <w:rPr>
          <w:lang w:val="fr-FR"/>
        </w:rPr>
        <w:t xml:space="preserve">avec </w:t>
      </w:r>
      <w:r w:rsidRPr="00B94E33">
        <w:rPr>
          <w:lang w:val="fr-FR"/>
        </w:rPr>
        <w:t xml:space="preserve">des griffures sur le </w:t>
      </w:r>
      <w:r w:rsidR="002B39AA" w:rsidRPr="00B94E33">
        <w:rPr>
          <w:lang w:val="fr-FR"/>
        </w:rPr>
        <w:t xml:space="preserve">côté gauche du </w:t>
      </w:r>
      <w:r w:rsidRPr="00B94E33">
        <w:rPr>
          <w:lang w:val="fr-FR"/>
        </w:rPr>
        <w:t>visage</w:t>
      </w:r>
      <w:r w:rsidR="002B39AA" w:rsidRPr="00B94E33">
        <w:rPr>
          <w:lang w:val="fr-FR"/>
        </w:rPr>
        <w:t>.</w:t>
      </w:r>
      <w:r w:rsidRPr="00B94E33">
        <w:rPr>
          <w:lang w:val="fr-FR"/>
        </w:rPr>
        <w:t xml:space="preserve"> Les gendarmes rédigèrent un rapport de </w:t>
      </w:r>
      <w:r w:rsidR="002B39AA" w:rsidRPr="00B94E33">
        <w:rPr>
          <w:lang w:val="fr-FR"/>
        </w:rPr>
        <w:t>l</w:t>
      </w:r>
      <w:r w:rsidR="00B94E33" w:rsidRPr="00B94E33">
        <w:rPr>
          <w:lang w:val="fr-FR"/>
        </w:rPr>
        <w:t>’</w:t>
      </w:r>
      <w:r w:rsidR="002B39AA" w:rsidRPr="00B94E33">
        <w:rPr>
          <w:lang w:val="fr-FR"/>
        </w:rPr>
        <w:t>incident</w:t>
      </w:r>
      <w:r w:rsidRPr="00B94E33">
        <w:rPr>
          <w:lang w:val="fr-FR"/>
        </w:rPr>
        <w:t>. Il ressort de ce rapport que la requérante avait é</w:t>
      </w:r>
      <w:r w:rsidR="00715896" w:rsidRPr="00B94E33">
        <w:rPr>
          <w:lang w:val="fr-FR"/>
        </w:rPr>
        <w:t xml:space="preserve">té frappée et mordue au visage </w:t>
      </w:r>
      <w:r w:rsidRPr="00B94E33">
        <w:rPr>
          <w:lang w:val="fr-FR"/>
        </w:rPr>
        <w:t xml:space="preserve">et </w:t>
      </w:r>
      <w:r w:rsidR="00626B9B" w:rsidRPr="00B94E33">
        <w:rPr>
          <w:lang w:val="fr-FR"/>
        </w:rPr>
        <w:t xml:space="preserve">à </w:t>
      </w:r>
      <w:r w:rsidRPr="00B94E33">
        <w:rPr>
          <w:lang w:val="fr-FR"/>
        </w:rPr>
        <w:t>la jambe gauche et qu</w:t>
      </w:r>
      <w:r w:rsidR="00B94E33" w:rsidRPr="00B94E33">
        <w:rPr>
          <w:lang w:val="fr-FR"/>
        </w:rPr>
        <w:t>’</w:t>
      </w:r>
      <w:r w:rsidRPr="00B94E33">
        <w:rPr>
          <w:lang w:val="fr-FR"/>
        </w:rPr>
        <w:t xml:space="preserve">elle avait plusieurs hématomes. </w:t>
      </w:r>
      <w:r w:rsidR="00627845" w:rsidRPr="00B94E33">
        <w:rPr>
          <w:lang w:val="fr-FR"/>
        </w:rPr>
        <w:t>Toujours s</w:t>
      </w:r>
      <w:r w:rsidR="002B39AA" w:rsidRPr="00B94E33">
        <w:rPr>
          <w:lang w:val="fr-FR"/>
        </w:rPr>
        <w:t>elon le rapport, l</w:t>
      </w:r>
      <w:r w:rsidRPr="00B94E33">
        <w:rPr>
          <w:lang w:val="fr-FR"/>
        </w:rPr>
        <w:t xml:space="preserve">a fille de la requérante </w:t>
      </w:r>
      <w:r w:rsidR="002B39AA" w:rsidRPr="00B94E33">
        <w:rPr>
          <w:lang w:val="fr-FR"/>
        </w:rPr>
        <w:t xml:space="preserve">était </w:t>
      </w:r>
      <w:r w:rsidRPr="00B94E33">
        <w:rPr>
          <w:lang w:val="fr-FR"/>
        </w:rPr>
        <w:t>intervenue pour défendre</w:t>
      </w:r>
      <w:r w:rsidR="002B39AA" w:rsidRPr="00B94E33">
        <w:rPr>
          <w:lang w:val="fr-FR"/>
        </w:rPr>
        <w:t xml:space="preserve"> s</w:t>
      </w:r>
      <w:r w:rsidRPr="00B94E33">
        <w:rPr>
          <w:lang w:val="fr-FR"/>
        </w:rPr>
        <w:t>a mère et avait été frappée</w:t>
      </w:r>
      <w:r w:rsidR="00715896" w:rsidRPr="00B94E33">
        <w:rPr>
          <w:lang w:val="fr-FR"/>
        </w:rPr>
        <w:t xml:space="preserve"> à son tour</w:t>
      </w:r>
      <w:r w:rsidRPr="00B94E33">
        <w:rPr>
          <w:lang w:val="fr-FR"/>
        </w:rPr>
        <w:t xml:space="preserve">. </w:t>
      </w:r>
      <w:r w:rsidR="00627845" w:rsidRPr="00B94E33">
        <w:rPr>
          <w:lang w:val="fr-FR"/>
        </w:rPr>
        <w:t>Elle aur</w:t>
      </w:r>
      <w:r w:rsidRPr="00B94E33">
        <w:rPr>
          <w:lang w:val="fr-FR"/>
        </w:rPr>
        <w:t xml:space="preserve">ait </w:t>
      </w:r>
      <w:r w:rsidR="00627845" w:rsidRPr="00B94E33">
        <w:rPr>
          <w:lang w:val="fr-FR"/>
        </w:rPr>
        <w:t xml:space="preserve">présenté </w:t>
      </w:r>
      <w:r w:rsidRPr="00B94E33">
        <w:rPr>
          <w:lang w:val="fr-FR"/>
        </w:rPr>
        <w:t xml:space="preserve">une </w:t>
      </w:r>
      <w:r w:rsidR="002B39AA" w:rsidRPr="00B94E33">
        <w:rPr>
          <w:lang w:val="fr-FR"/>
        </w:rPr>
        <w:t xml:space="preserve">plaie </w:t>
      </w:r>
      <w:r w:rsidRPr="00B94E33">
        <w:rPr>
          <w:lang w:val="fr-FR"/>
        </w:rPr>
        <w:t>causée par un ongle sur le cou et des blessures sur les deux bras.</w:t>
      </w:r>
      <w:r w:rsidR="00715896" w:rsidRPr="00B94E33">
        <w:rPr>
          <w:lang w:val="fr-FR"/>
        </w:rPr>
        <w:t xml:space="preserve"> La </w:t>
      </w:r>
      <w:r w:rsidRPr="00B94E33">
        <w:rPr>
          <w:lang w:val="fr-FR"/>
        </w:rPr>
        <w:t>requérante et sa fille furent informé</w:t>
      </w:r>
      <w:r w:rsidR="002B39AA" w:rsidRPr="00B94E33">
        <w:rPr>
          <w:lang w:val="fr-FR"/>
        </w:rPr>
        <w:t>e</w:t>
      </w:r>
      <w:r w:rsidRPr="00B94E33">
        <w:rPr>
          <w:lang w:val="fr-FR"/>
        </w:rPr>
        <w:t xml:space="preserve">s de leurs droits </w:t>
      </w:r>
      <w:r w:rsidR="007D5CEE" w:rsidRPr="00B94E33">
        <w:rPr>
          <w:lang w:val="fr-FR"/>
        </w:rPr>
        <w:t xml:space="preserve">et </w:t>
      </w:r>
      <w:r w:rsidR="002B39AA" w:rsidRPr="00B94E33">
        <w:rPr>
          <w:lang w:val="fr-FR"/>
        </w:rPr>
        <w:t>elles</w:t>
      </w:r>
      <w:r w:rsidRPr="00B94E33">
        <w:rPr>
          <w:lang w:val="fr-FR"/>
        </w:rPr>
        <w:t xml:space="preserve"> manifestèrent l</w:t>
      </w:r>
      <w:r w:rsidR="00B94E33" w:rsidRPr="00B94E33">
        <w:rPr>
          <w:lang w:val="fr-FR"/>
        </w:rPr>
        <w:t>’</w:t>
      </w:r>
      <w:r w:rsidRPr="00B94E33">
        <w:rPr>
          <w:lang w:val="fr-FR"/>
        </w:rPr>
        <w:t>intention de se rendre aux urgences.</w:t>
      </w:r>
    </w:p>
    <w:p w:rsidR="00E943A9" w:rsidRPr="00B94E33" w:rsidRDefault="00F76F5A" w:rsidP="00B94E33">
      <w:pPr>
        <w:pStyle w:val="ECHRPara"/>
        <w:rPr>
          <w:lang w:val="fr-FR"/>
        </w:rPr>
      </w:pPr>
      <w:r w:rsidRPr="00B94E33">
        <w:fldChar w:fldCharType="begin"/>
      </w:r>
      <w:r w:rsidRPr="00B94E33">
        <w:rPr>
          <w:lang w:val="fr-FR"/>
        </w:rPr>
        <w:instrText xml:space="preserve"> SEQ level0 \*arabic </w:instrText>
      </w:r>
      <w:r w:rsidRPr="00B94E33">
        <w:fldChar w:fldCharType="separate"/>
      </w:r>
      <w:r w:rsidR="00B94E33" w:rsidRPr="00B94E33">
        <w:rPr>
          <w:noProof/>
          <w:lang w:val="fr-FR"/>
        </w:rPr>
        <w:t>11</w:t>
      </w:r>
      <w:r w:rsidRPr="00B94E33">
        <w:fldChar w:fldCharType="end"/>
      </w:r>
      <w:r w:rsidR="00E943A9" w:rsidRPr="00B94E33">
        <w:rPr>
          <w:lang w:val="fr-FR"/>
        </w:rPr>
        <w:t xml:space="preserve">.  La requérante </w:t>
      </w:r>
      <w:r w:rsidR="002B39AA" w:rsidRPr="00B94E33">
        <w:rPr>
          <w:lang w:val="fr-FR"/>
        </w:rPr>
        <w:t>allègue</w:t>
      </w:r>
      <w:r w:rsidR="00626B9B" w:rsidRPr="00B94E33">
        <w:rPr>
          <w:lang w:val="fr-FR"/>
        </w:rPr>
        <w:t xml:space="preserve"> qu</w:t>
      </w:r>
      <w:r w:rsidR="00B94E33" w:rsidRPr="00B94E33">
        <w:rPr>
          <w:lang w:val="fr-FR"/>
        </w:rPr>
        <w:t>’</w:t>
      </w:r>
      <w:r w:rsidR="00626B9B" w:rsidRPr="00B94E33">
        <w:rPr>
          <w:lang w:val="fr-FR"/>
        </w:rPr>
        <w:t>elle n</w:t>
      </w:r>
      <w:r w:rsidR="00B94E33" w:rsidRPr="00B94E33">
        <w:rPr>
          <w:lang w:val="fr-FR"/>
        </w:rPr>
        <w:t>’</w:t>
      </w:r>
      <w:r w:rsidR="00626B9B" w:rsidRPr="00B94E33">
        <w:rPr>
          <w:lang w:val="fr-FR"/>
        </w:rPr>
        <w:t>a</w:t>
      </w:r>
      <w:r w:rsidR="00627845" w:rsidRPr="00B94E33">
        <w:rPr>
          <w:lang w:val="fr-FR"/>
        </w:rPr>
        <w:t>,</w:t>
      </w:r>
      <w:r w:rsidR="00626B9B" w:rsidRPr="00B94E33">
        <w:rPr>
          <w:lang w:val="fr-FR"/>
        </w:rPr>
        <w:t xml:space="preserve"> </w:t>
      </w:r>
      <w:r w:rsidR="00627845" w:rsidRPr="00B94E33">
        <w:rPr>
          <w:lang w:val="fr-FR"/>
        </w:rPr>
        <w:t xml:space="preserve">en revanche, </w:t>
      </w:r>
      <w:r w:rsidR="00626B9B" w:rsidRPr="00B94E33">
        <w:rPr>
          <w:lang w:val="fr-FR"/>
        </w:rPr>
        <w:t>pas</w:t>
      </w:r>
      <w:r w:rsidR="00E943A9" w:rsidRPr="00B94E33">
        <w:rPr>
          <w:lang w:val="fr-FR"/>
        </w:rPr>
        <w:t xml:space="preserve"> été informée de la possibilité de déposer une plainte</w:t>
      </w:r>
      <w:r w:rsidR="007D5CEE" w:rsidRPr="00B94E33">
        <w:rPr>
          <w:lang w:val="fr-FR"/>
        </w:rPr>
        <w:t xml:space="preserve"> ou </w:t>
      </w:r>
      <w:r w:rsidR="00E943A9" w:rsidRPr="00B94E33">
        <w:rPr>
          <w:lang w:val="fr-FR"/>
        </w:rPr>
        <w:t xml:space="preserve">de </w:t>
      </w:r>
      <w:r w:rsidR="00626B9B" w:rsidRPr="00B94E33">
        <w:rPr>
          <w:lang w:val="fr-FR"/>
        </w:rPr>
        <w:t xml:space="preserve">prendre contact avec </w:t>
      </w:r>
      <w:r w:rsidR="00E943A9" w:rsidRPr="00B94E33">
        <w:rPr>
          <w:lang w:val="fr-FR"/>
        </w:rPr>
        <w:t>un centre pour les femmes victimes de violence</w:t>
      </w:r>
      <w:r w:rsidR="000310CA" w:rsidRPr="00B94E33">
        <w:rPr>
          <w:lang w:val="fr-FR"/>
        </w:rPr>
        <w:t>s</w:t>
      </w:r>
      <w:r w:rsidR="00E943A9" w:rsidRPr="00B94E33">
        <w:rPr>
          <w:lang w:val="fr-FR"/>
        </w:rPr>
        <w:t xml:space="preserve">. Elle soutient également </w:t>
      </w:r>
      <w:r w:rsidR="00626B9B" w:rsidRPr="00B94E33">
        <w:rPr>
          <w:lang w:val="fr-FR"/>
        </w:rPr>
        <w:t>qu</w:t>
      </w:r>
      <w:r w:rsidR="00B94E33" w:rsidRPr="00B94E33">
        <w:rPr>
          <w:lang w:val="fr-FR"/>
        </w:rPr>
        <w:t>’</w:t>
      </w:r>
      <w:r w:rsidR="00626B9B" w:rsidRPr="00B94E33">
        <w:rPr>
          <w:lang w:val="fr-FR"/>
        </w:rPr>
        <w:t>elle s</w:t>
      </w:r>
      <w:r w:rsidR="00B94E33" w:rsidRPr="00B94E33">
        <w:rPr>
          <w:lang w:val="fr-FR"/>
        </w:rPr>
        <w:t>’</w:t>
      </w:r>
      <w:r w:rsidR="00626B9B" w:rsidRPr="00B94E33">
        <w:rPr>
          <w:lang w:val="fr-FR"/>
        </w:rPr>
        <w:t>est</w:t>
      </w:r>
      <w:r w:rsidR="00E943A9" w:rsidRPr="00B94E33">
        <w:rPr>
          <w:lang w:val="fr-FR"/>
        </w:rPr>
        <w:t xml:space="preserve"> rendue aux urgences afin de faire constater ses blessures, mais qu</w:t>
      </w:r>
      <w:r w:rsidR="002B39AA" w:rsidRPr="00B94E33">
        <w:rPr>
          <w:lang w:val="fr-FR"/>
        </w:rPr>
        <w:t xml:space="preserve">e, </w:t>
      </w:r>
      <w:r w:rsidR="00E943A9" w:rsidRPr="00B94E33">
        <w:rPr>
          <w:lang w:val="fr-FR"/>
        </w:rPr>
        <w:t>après trois heures d</w:t>
      </w:r>
      <w:r w:rsidR="00B94E33" w:rsidRPr="00B94E33">
        <w:rPr>
          <w:lang w:val="fr-FR"/>
        </w:rPr>
        <w:t>’</w:t>
      </w:r>
      <w:r w:rsidR="00E943A9" w:rsidRPr="00B94E33">
        <w:rPr>
          <w:lang w:val="fr-FR"/>
        </w:rPr>
        <w:t>attente</w:t>
      </w:r>
      <w:r w:rsidR="002B39AA" w:rsidRPr="00B94E33">
        <w:rPr>
          <w:lang w:val="fr-FR"/>
        </w:rPr>
        <w:t>,</w:t>
      </w:r>
      <w:r w:rsidR="00E943A9" w:rsidRPr="00B94E33">
        <w:rPr>
          <w:lang w:val="fr-FR"/>
        </w:rPr>
        <w:t xml:space="preserve"> elle </w:t>
      </w:r>
      <w:r w:rsidR="002B39AA" w:rsidRPr="00B94E33">
        <w:rPr>
          <w:lang w:val="fr-FR"/>
        </w:rPr>
        <w:t xml:space="preserve">avait décidé </w:t>
      </w:r>
      <w:r w:rsidR="00E943A9" w:rsidRPr="00B94E33">
        <w:rPr>
          <w:lang w:val="fr-FR"/>
        </w:rPr>
        <w:t>de rentrer à la maison.</w:t>
      </w:r>
    </w:p>
    <w:p w:rsidR="00E943A9" w:rsidRPr="00B94E33" w:rsidRDefault="00F76F5A" w:rsidP="00B94E33">
      <w:pPr>
        <w:pStyle w:val="ECHRPara"/>
        <w:rPr>
          <w:lang w:val="fr-FR"/>
        </w:rPr>
      </w:pPr>
      <w:r w:rsidRPr="00B94E33">
        <w:fldChar w:fldCharType="begin"/>
      </w:r>
      <w:r w:rsidRPr="00B94E33">
        <w:rPr>
          <w:lang w:val="fr-FR"/>
        </w:rPr>
        <w:instrText xml:space="preserve"> SEQ level0 \*arabic </w:instrText>
      </w:r>
      <w:r w:rsidRPr="00B94E33">
        <w:fldChar w:fldCharType="separate"/>
      </w:r>
      <w:r w:rsidR="00B94E33" w:rsidRPr="00B94E33">
        <w:rPr>
          <w:noProof/>
          <w:lang w:val="fr-FR"/>
        </w:rPr>
        <w:t>12</w:t>
      </w:r>
      <w:r w:rsidRPr="00B94E33">
        <w:fldChar w:fldCharType="end"/>
      </w:r>
      <w:r w:rsidR="00E943A9" w:rsidRPr="00B94E33">
        <w:rPr>
          <w:lang w:val="fr-FR"/>
        </w:rPr>
        <w:t xml:space="preserve">.  Le Gouvernement, se référant au </w:t>
      </w:r>
      <w:r w:rsidR="00450BF4" w:rsidRPr="00B94E33">
        <w:rPr>
          <w:lang w:val="fr-FR"/>
        </w:rPr>
        <w:t>procès-verbal</w:t>
      </w:r>
      <w:r w:rsidR="00E943A9" w:rsidRPr="00B94E33">
        <w:rPr>
          <w:lang w:val="fr-FR"/>
        </w:rPr>
        <w:t xml:space="preserve"> rédigé par les gendarmes, </w:t>
      </w:r>
      <w:r w:rsidR="002B39AA" w:rsidRPr="00B94E33">
        <w:rPr>
          <w:lang w:val="fr-FR"/>
        </w:rPr>
        <w:t xml:space="preserve">estime </w:t>
      </w:r>
      <w:r w:rsidR="00E943A9" w:rsidRPr="00B94E33">
        <w:rPr>
          <w:lang w:val="fr-FR"/>
        </w:rPr>
        <w:t>qu</w:t>
      </w:r>
      <w:r w:rsidR="00B94E33" w:rsidRPr="00B94E33">
        <w:rPr>
          <w:lang w:val="fr-FR"/>
        </w:rPr>
        <w:t>’</w:t>
      </w:r>
      <w:r w:rsidR="00E943A9" w:rsidRPr="00B94E33">
        <w:rPr>
          <w:lang w:val="fr-FR"/>
        </w:rPr>
        <w:t>il n</w:t>
      </w:r>
      <w:r w:rsidR="00B94E33" w:rsidRPr="00B94E33">
        <w:rPr>
          <w:lang w:val="fr-FR"/>
        </w:rPr>
        <w:t>’</w:t>
      </w:r>
      <w:r w:rsidR="00E943A9" w:rsidRPr="00B94E33">
        <w:rPr>
          <w:lang w:val="fr-FR"/>
        </w:rPr>
        <w:t>y a aucune preuve que la requérante se soit rendue aux urgences.</w:t>
      </w:r>
    </w:p>
    <w:p w:rsidR="00E943A9" w:rsidRPr="00B94E33" w:rsidRDefault="00971F5F" w:rsidP="00B94E33">
      <w:pPr>
        <w:pStyle w:val="ECHRHeading2"/>
        <w:rPr>
          <w:lang w:val="fr-FR"/>
        </w:rPr>
      </w:pPr>
      <w:r w:rsidRPr="00B94E33">
        <w:rPr>
          <w:lang w:val="fr-FR"/>
        </w:rPr>
        <w:t>2</w:t>
      </w:r>
      <w:r w:rsidR="00E943A9" w:rsidRPr="00B94E33">
        <w:rPr>
          <w:lang w:val="fr-FR"/>
        </w:rPr>
        <w:t>.</w:t>
      </w:r>
      <w:r w:rsidR="002B39AA" w:rsidRPr="00B94E33">
        <w:rPr>
          <w:lang w:val="fr-FR"/>
        </w:rPr>
        <w:t>  </w:t>
      </w:r>
      <w:r w:rsidR="000C5A6B" w:rsidRPr="00B94E33">
        <w:rPr>
          <w:lang w:val="fr-FR"/>
        </w:rPr>
        <w:t>La d</w:t>
      </w:r>
      <w:r w:rsidR="00E943A9" w:rsidRPr="00B94E33">
        <w:rPr>
          <w:lang w:val="fr-FR"/>
        </w:rPr>
        <w:t>euxième agression commise par A.T. sur la requérante</w:t>
      </w:r>
    </w:p>
    <w:p w:rsidR="00E943A9" w:rsidRPr="00B94E33" w:rsidRDefault="00971F5F" w:rsidP="00B94E33">
      <w:pPr>
        <w:pStyle w:val="ECHRHeading3"/>
        <w:rPr>
          <w:lang w:val="fr-FR"/>
        </w:rPr>
      </w:pPr>
      <w:r w:rsidRPr="00B94E33">
        <w:rPr>
          <w:lang w:val="fr-FR"/>
        </w:rPr>
        <w:t>a)</w:t>
      </w:r>
      <w:r w:rsidR="002B39AA" w:rsidRPr="00B94E33">
        <w:rPr>
          <w:lang w:val="fr-FR"/>
        </w:rPr>
        <w:t>  </w:t>
      </w:r>
      <w:r w:rsidR="00E943A9" w:rsidRPr="00B94E33">
        <w:rPr>
          <w:lang w:val="fr-FR"/>
        </w:rPr>
        <w:t>La version de la requérante</w:t>
      </w:r>
    </w:p>
    <w:p w:rsidR="00E943A9" w:rsidRPr="00B94E33" w:rsidRDefault="00F76F5A" w:rsidP="00B94E33">
      <w:pPr>
        <w:pStyle w:val="ECHRPara"/>
        <w:rPr>
          <w:lang w:val="fr-FR"/>
        </w:rPr>
      </w:pPr>
      <w:r w:rsidRPr="00B94E33">
        <w:fldChar w:fldCharType="begin"/>
      </w:r>
      <w:r w:rsidRPr="00B94E33">
        <w:rPr>
          <w:lang w:val="fr-FR"/>
        </w:rPr>
        <w:instrText xml:space="preserve"> SEQ level0 \*arabic </w:instrText>
      </w:r>
      <w:r w:rsidRPr="00B94E33">
        <w:fldChar w:fldCharType="separate"/>
      </w:r>
      <w:r w:rsidR="00B94E33" w:rsidRPr="00B94E33">
        <w:rPr>
          <w:noProof/>
          <w:lang w:val="fr-FR"/>
        </w:rPr>
        <w:t>13</w:t>
      </w:r>
      <w:r w:rsidRPr="00B94E33">
        <w:fldChar w:fldCharType="end"/>
      </w:r>
      <w:r w:rsidR="00E943A9" w:rsidRPr="00B94E33">
        <w:rPr>
          <w:lang w:val="fr-FR"/>
        </w:rPr>
        <w:t xml:space="preserve">.  Après </w:t>
      </w:r>
      <w:r w:rsidR="0042676B" w:rsidRPr="00B94E33">
        <w:rPr>
          <w:lang w:val="fr-FR"/>
        </w:rPr>
        <w:t>l</w:t>
      </w:r>
      <w:r w:rsidR="00B94E33" w:rsidRPr="00B94E33">
        <w:rPr>
          <w:lang w:val="fr-FR"/>
        </w:rPr>
        <w:t>’</w:t>
      </w:r>
      <w:r w:rsidR="0042676B" w:rsidRPr="00B94E33">
        <w:rPr>
          <w:lang w:val="fr-FR"/>
        </w:rPr>
        <w:t xml:space="preserve">agression </w:t>
      </w:r>
      <w:r w:rsidR="002B39AA" w:rsidRPr="00B94E33">
        <w:rPr>
          <w:lang w:val="fr-FR"/>
        </w:rPr>
        <w:t>du 2 juin 2012</w:t>
      </w:r>
      <w:r w:rsidR="00E943A9" w:rsidRPr="00B94E33">
        <w:rPr>
          <w:lang w:val="fr-FR"/>
        </w:rPr>
        <w:t xml:space="preserve">, la requérante </w:t>
      </w:r>
      <w:r w:rsidR="00827DEA" w:rsidRPr="00B94E33">
        <w:rPr>
          <w:lang w:val="fr-FR"/>
        </w:rPr>
        <w:t>soutient qu</w:t>
      </w:r>
      <w:r w:rsidR="00B94E33" w:rsidRPr="00B94E33">
        <w:rPr>
          <w:lang w:val="fr-FR"/>
        </w:rPr>
        <w:t>’</w:t>
      </w:r>
      <w:r w:rsidR="00827DEA" w:rsidRPr="00B94E33">
        <w:rPr>
          <w:lang w:val="fr-FR"/>
        </w:rPr>
        <w:t>elle avait trouvé</w:t>
      </w:r>
      <w:r w:rsidR="00E943A9" w:rsidRPr="00B94E33">
        <w:rPr>
          <w:lang w:val="fr-FR"/>
        </w:rPr>
        <w:t xml:space="preserve"> refuge dans la cave de son appartement</w:t>
      </w:r>
      <w:r w:rsidR="00827DEA" w:rsidRPr="00B94E33">
        <w:rPr>
          <w:lang w:val="fr-FR"/>
        </w:rPr>
        <w:t xml:space="preserve"> et qu</w:t>
      </w:r>
      <w:r w:rsidR="00B94E33" w:rsidRPr="00B94E33">
        <w:rPr>
          <w:lang w:val="fr-FR"/>
        </w:rPr>
        <w:t>’</w:t>
      </w:r>
      <w:r w:rsidR="00E943A9" w:rsidRPr="00B94E33">
        <w:rPr>
          <w:lang w:val="fr-FR"/>
        </w:rPr>
        <w:t xml:space="preserve">elle </w:t>
      </w:r>
      <w:r w:rsidR="00827DEA" w:rsidRPr="00B94E33">
        <w:rPr>
          <w:lang w:val="fr-FR"/>
        </w:rPr>
        <w:t xml:space="preserve">y </w:t>
      </w:r>
      <w:r w:rsidR="00E943A9" w:rsidRPr="00B94E33">
        <w:rPr>
          <w:lang w:val="fr-FR"/>
        </w:rPr>
        <w:t>dormait.</w:t>
      </w:r>
    </w:p>
    <w:p w:rsidR="00E943A9" w:rsidRPr="00B94E33" w:rsidRDefault="00F76F5A" w:rsidP="00B94E33">
      <w:pPr>
        <w:pStyle w:val="ECHRPara"/>
        <w:rPr>
          <w:lang w:val="fr-FR"/>
        </w:rPr>
      </w:pPr>
      <w:r w:rsidRPr="00B94E33">
        <w:lastRenderedPageBreak/>
        <w:fldChar w:fldCharType="begin"/>
      </w:r>
      <w:r w:rsidRPr="00B94E33">
        <w:rPr>
          <w:lang w:val="fr-FR"/>
        </w:rPr>
        <w:instrText xml:space="preserve"> SEQ level0 \*arabic </w:instrText>
      </w:r>
      <w:r w:rsidRPr="00B94E33">
        <w:fldChar w:fldCharType="separate"/>
      </w:r>
      <w:r w:rsidR="00B94E33" w:rsidRPr="00B94E33">
        <w:rPr>
          <w:noProof/>
          <w:lang w:val="fr-FR"/>
        </w:rPr>
        <w:t>14</w:t>
      </w:r>
      <w:r w:rsidRPr="00B94E33">
        <w:fldChar w:fldCharType="end"/>
      </w:r>
      <w:r w:rsidR="00E943A9" w:rsidRPr="00B94E33">
        <w:rPr>
          <w:lang w:val="fr-FR"/>
        </w:rPr>
        <w:t>.  </w:t>
      </w:r>
      <w:r w:rsidR="00F04E86" w:rsidRPr="00B94E33">
        <w:rPr>
          <w:lang w:val="fr-FR"/>
        </w:rPr>
        <w:t xml:space="preserve">Elle relate ainsi les événements suivants. </w:t>
      </w:r>
      <w:r w:rsidR="00E943A9" w:rsidRPr="00B94E33">
        <w:rPr>
          <w:lang w:val="fr-FR"/>
        </w:rPr>
        <w:t>Le 19 août 2012, après un appel téléphonique menaçant de son mari</w:t>
      </w:r>
      <w:r w:rsidR="00627845" w:rsidRPr="00B94E33">
        <w:rPr>
          <w:lang w:val="fr-FR"/>
        </w:rPr>
        <w:t xml:space="preserve">, </w:t>
      </w:r>
      <w:r w:rsidR="00E943A9" w:rsidRPr="00B94E33">
        <w:rPr>
          <w:lang w:val="fr-FR"/>
        </w:rPr>
        <w:t xml:space="preserve">craignant une agression de sa part, </w:t>
      </w:r>
      <w:r w:rsidR="00F04E86" w:rsidRPr="00B94E33">
        <w:rPr>
          <w:lang w:val="fr-FR"/>
        </w:rPr>
        <w:t xml:space="preserve">elle </w:t>
      </w:r>
      <w:r w:rsidR="00E943A9" w:rsidRPr="00B94E33">
        <w:rPr>
          <w:lang w:val="fr-FR"/>
        </w:rPr>
        <w:t xml:space="preserve">décida de sortir de la maison. </w:t>
      </w:r>
      <w:r w:rsidR="00DF61E6" w:rsidRPr="00B94E33">
        <w:rPr>
          <w:lang w:val="fr-FR"/>
        </w:rPr>
        <w:t>Lorsqu</w:t>
      </w:r>
      <w:r w:rsidR="00B94E33" w:rsidRPr="00B94E33">
        <w:rPr>
          <w:lang w:val="fr-FR"/>
        </w:rPr>
        <w:t>’</w:t>
      </w:r>
      <w:r w:rsidR="00DF61E6" w:rsidRPr="00B94E33">
        <w:rPr>
          <w:lang w:val="fr-FR"/>
        </w:rPr>
        <w:t>elle rentra chez elle</w:t>
      </w:r>
      <w:r w:rsidR="00E943A9" w:rsidRPr="00B94E33">
        <w:rPr>
          <w:lang w:val="fr-FR"/>
        </w:rPr>
        <w:t xml:space="preserve">, elle découvrit que la porte de la cave avait été cassée. Elle essaya de joindre une amie pour être hébergée </w:t>
      </w:r>
      <w:r w:rsidR="00DF61E6" w:rsidRPr="00B94E33">
        <w:rPr>
          <w:lang w:val="fr-FR"/>
        </w:rPr>
        <w:t xml:space="preserve">pour </w:t>
      </w:r>
      <w:r w:rsidR="00E943A9" w:rsidRPr="00B94E33">
        <w:rPr>
          <w:lang w:val="fr-FR"/>
        </w:rPr>
        <w:t xml:space="preserve">la nuit, mais personne ne répondit à son appel. Elle décida alors de retourner dans la cave. </w:t>
      </w:r>
      <w:r w:rsidR="00DF61E6" w:rsidRPr="00B94E33">
        <w:rPr>
          <w:lang w:val="fr-FR"/>
        </w:rPr>
        <w:t>A.T. l</w:t>
      </w:r>
      <w:r w:rsidR="00B94E33" w:rsidRPr="00B94E33">
        <w:rPr>
          <w:lang w:val="fr-FR"/>
        </w:rPr>
        <w:t>’</w:t>
      </w:r>
      <w:r w:rsidR="00F04E86" w:rsidRPr="00B94E33">
        <w:rPr>
          <w:lang w:val="fr-FR"/>
        </w:rPr>
        <w:t xml:space="preserve">y </w:t>
      </w:r>
      <w:r w:rsidR="00DF61E6" w:rsidRPr="00B94E33">
        <w:rPr>
          <w:lang w:val="fr-FR"/>
        </w:rPr>
        <w:t>agressa</w:t>
      </w:r>
      <w:r w:rsidR="00E943A9" w:rsidRPr="00B94E33">
        <w:rPr>
          <w:lang w:val="fr-FR"/>
        </w:rPr>
        <w:t xml:space="preserve"> avec un couteau</w:t>
      </w:r>
      <w:r w:rsidR="00DF61E6" w:rsidRPr="00B94E33">
        <w:rPr>
          <w:lang w:val="fr-FR"/>
        </w:rPr>
        <w:t xml:space="preserve"> et</w:t>
      </w:r>
      <w:r w:rsidR="00E943A9" w:rsidRPr="00B94E33">
        <w:rPr>
          <w:lang w:val="fr-FR"/>
        </w:rPr>
        <w:t xml:space="preserve"> la contra</w:t>
      </w:r>
      <w:r w:rsidR="00DF61E6" w:rsidRPr="00B94E33">
        <w:rPr>
          <w:lang w:val="fr-FR"/>
        </w:rPr>
        <w:t>ignit</w:t>
      </w:r>
      <w:r w:rsidR="00E943A9" w:rsidRPr="00B94E33">
        <w:rPr>
          <w:lang w:val="fr-FR"/>
        </w:rPr>
        <w:t xml:space="preserve"> à le suivre afin d</w:t>
      </w:r>
      <w:r w:rsidR="00B94E33" w:rsidRPr="00B94E33">
        <w:rPr>
          <w:lang w:val="fr-FR"/>
        </w:rPr>
        <w:t>’</w:t>
      </w:r>
      <w:r w:rsidR="00E943A9" w:rsidRPr="00B94E33">
        <w:rPr>
          <w:lang w:val="fr-FR"/>
        </w:rPr>
        <w:t xml:space="preserve">avoir des relations sexuelles avec ses amis. </w:t>
      </w:r>
      <w:r w:rsidR="00627845" w:rsidRPr="00B94E33">
        <w:rPr>
          <w:lang w:val="fr-FR"/>
        </w:rPr>
        <w:t>Espérant pouvoir demander de l</w:t>
      </w:r>
      <w:r w:rsidR="00B94E33" w:rsidRPr="00B94E33">
        <w:rPr>
          <w:lang w:val="fr-FR"/>
        </w:rPr>
        <w:t>’</w:t>
      </w:r>
      <w:r w:rsidR="00627845" w:rsidRPr="00B94E33">
        <w:rPr>
          <w:lang w:val="fr-FR"/>
        </w:rPr>
        <w:t>aide une fois dehors, elle</w:t>
      </w:r>
      <w:r w:rsidR="00E943A9" w:rsidRPr="00B94E33">
        <w:rPr>
          <w:lang w:val="fr-FR"/>
        </w:rPr>
        <w:t xml:space="preserve"> </w:t>
      </w:r>
      <w:r w:rsidR="0049296B" w:rsidRPr="00B94E33">
        <w:rPr>
          <w:lang w:val="fr-FR"/>
        </w:rPr>
        <w:t>se résigna à</w:t>
      </w:r>
      <w:r w:rsidR="00E943A9" w:rsidRPr="00B94E33">
        <w:rPr>
          <w:lang w:val="fr-FR"/>
        </w:rPr>
        <w:t xml:space="preserve"> le suivre. Dans la rue, elle </w:t>
      </w:r>
      <w:r w:rsidR="007D5CEE" w:rsidRPr="00B94E33">
        <w:rPr>
          <w:lang w:val="fr-FR"/>
        </w:rPr>
        <w:t>appela à</w:t>
      </w:r>
      <w:r w:rsidR="00E943A9" w:rsidRPr="00B94E33">
        <w:rPr>
          <w:lang w:val="fr-FR"/>
        </w:rPr>
        <w:t xml:space="preserve"> l</w:t>
      </w:r>
      <w:r w:rsidR="00B94E33" w:rsidRPr="00B94E33">
        <w:rPr>
          <w:lang w:val="fr-FR"/>
        </w:rPr>
        <w:t>’</w:t>
      </w:r>
      <w:r w:rsidR="00E943A9" w:rsidRPr="00B94E33">
        <w:rPr>
          <w:lang w:val="fr-FR"/>
        </w:rPr>
        <w:t xml:space="preserve">aide </w:t>
      </w:r>
      <w:r w:rsidR="0049296B" w:rsidRPr="00B94E33">
        <w:rPr>
          <w:lang w:val="fr-FR"/>
        </w:rPr>
        <w:t>des policiers</w:t>
      </w:r>
      <w:r w:rsidR="00E943A9" w:rsidRPr="00B94E33">
        <w:rPr>
          <w:lang w:val="fr-FR"/>
        </w:rPr>
        <w:t xml:space="preserve"> qui </w:t>
      </w:r>
      <w:r w:rsidR="00F04E86" w:rsidRPr="00B94E33">
        <w:rPr>
          <w:lang w:val="fr-FR"/>
        </w:rPr>
        <w:t xml:space="preserve">patrouillaient </w:t>
      </w:r>
      <w:r w:rsidR="00E943A9" w:rsidRPr="00B94E33">
        <w:rPr>
          <w:lang w:val="fr-FR"/>
        </w:rPr>
        <w:t>en voiture.</w:t>
      </w:r>
    </w:p>
    <w:p w:rsidR="00E943A9" w:rsidRPr="00B94E33" w:rsidRDefault="00F76F5A" w:rsidP="00B94E33">
      <w:pPr>
        <w:pStyle w:val="ECHRPara"/>
        <w:rPr>
          <w:lang w:val="fr-FR"/>
        </w:rPr>
      </w:pPr>
      <w:r w:rsidRPr="00B94E33">
        <w:fldChar w:fldCharType="begin"/>
      </w:r>
      <w:r w:rsidRPr="00B94E33">
        <w:rPr>
          <w:lang w:val="fr-FR"/>
        </w:rPr>
        <w:instrText xml:space="preserve"> SEQ level0 \*arabic </w:instrText>
      </w:r>
      <w:r w:rsidRPr="00B94E33">
        <w:fldChar w:fldCharType="separate"/>
      </w:r>
      <w:r w:rsidR="00B94E33" w:rsidRPr="00B94E33">
        <w:rPr>
          <w:noProof/>
          <w:lang w:val="fr-FR"/>
        </w:rPr>
        <w:t>15</w:t>
      </w:r>
      <w:r w:rsidRPr="00B94E33">
        <w:fldChar w:fldCharType="end"/>
      </w:r>
      <w:r w:rsidR="00E943A9" w:rsidRPr="00B94E33">
        <w:rPr>
          <w:lang w:val="fr-FR"/>
        </w:rPr>
        <w:t xml:space="preserve">.  Les policiers se </w:t>
      </w:r>
      <w:r w:rsidR="00F04E86" w:rsidRPr="00B94E33">
        <w:rPr>
          <w:lang w:val="fr-FR"/>
        </w:rPr>
        <w:t>bornèrent à</w:t>
      </w:r>
      <w:r w:rsidR="00E943A9" w:rsidRPr="00B94E33">
        <w:rPr>
          <w:lang w:val="fr-FR"/>
        </w:rPr>
        <w:t xml:space="preserve"> contrôler </w:t>
      </w:r>
      <w:r w:rsidR="00627845" w:rsidRPr="00B94E33">
        <w:rPr>
          <w:lang w:val="fr-FR"/>
        </w:rPr>
        <w:t>s</w:t>
      </w:r>
      <w:r w:rsidR="00E943A9" w:rsidRPr="00B94E33">
        <w:rPr>
          <w:lang w:val="fr-FR"/>
        </w:rPr>
        <w:t>es papiers d</w:t>
      </w:r>
      <w:r w:rsidR="00B94E33" w:rsidRPr="00B94E33">
        <w:rPr>
          <w:lang w:val="fr-FR"/>
        </w:rPr>
        <w:t>’</w:t>
      </w:r>
      <w:r w:rsidR="00E943A9" w:rsidRPr="00B94E33">
        <w:rPr>
          <w:lang w:val="fr-FR"/>
        </w:rPr>
        <w:t xml:space="preserve">identité </w:t>
      </w:r>
      <w:r w:rsidR="00627845" w:rsidRPr="00B94E33">
        <w:rPr>
          <w:lang w:val="fr-FR"/>
        </w:rPr>
        <w:t>et ceux</w:t>
      </w:r>
      <w:r w:rsidR="00E943A9" w:rsidRPr="00B94E33">
        <w:rPr>
          <w:lang w:val="fr-FR"/>
        </w:rPr>
        <w:t xml:space="preserve"> </w:t>
      </w:r>
      <w:r w:rsidR="0049296B" w:rsidRPr="00B94E33">
        <w:rPr>
          <w:lang w:val="fr-FR"/>
        </w:rPr>
        <w:t xml:space="preserve">de </w:t>
      </w:r>
      <w:r w:rsidR="00E943A9" w:rsidRPr="00B94E33">
        <w:rPr>
          <w:lang w:val="fr-FR"/>
        </w:rPr>
        <w:t>A.T. et</w:t>
      </w:r>
      <w:r w:rsidR="0049296B" w:rsidRPr="00B94E33">
        <w:rPr>
          <w:lang w:val="fr-FR"/>
        </w:rPr>
        <w:t>,</w:t>
      </w:r>
      <w:r w:rsidR="00E943A9" w:rsidRPr="00B94E33">
        <w:rPr>
          <w:lang w:val="fr-FR"/>
        </w:rPr>
        <w:t xml:space="preserve"> nonobstant </w:t>
      </w:r>
      <w:r w:rsidR="00627845" w:rsidRPr="00B94E33">
        <w:rPr>
          <w:lang w:val="fr-FR"/>
        </w:rPr>
        <w:t>s</w:t>
      </w:r>
      <w:r w:rsidR="00E943A9" w:rsidRPr="00B94E33">
        <w:rPr>
          <w:lang w:val="fr-FR"/>
        </w:rPr>
        <w:t xml:space="preserve">es affirmations </w:t>
      </w:r>
      <w:r w:rsidR="00627845" w:rsidRPr="00B94E33">
        <w:rPr>
          <w:lang w:val="fr-FR"/>
        </w:rPr>
        <w:t>selon lesquelles elle avait</w:t>
      </w:r>
      <w:r w:rsidR="00E943A9" w:rsidRPr="00B94E33">
        <w:rPr>
          <w:lang w:val="fr-FR"/>
        </w:rPr>
        <w:t xml:space="preserve"> été menacée et frappée par son mari,</w:t>
      </w:r>
      <w:r w:rsidR="00F04E86" w:rsidRPr="00B94E33">
        <w:rPr>
          <w:lang w:val="fr-FR"/>
        </w:rPr>
        <w:t xml:space="preserve"> ils</w:t>
      </w:r>
      <w:r w:rsidR="00E943A9" w:rsidRPr="00B94E33">
        <w:rPr>
          <w:lang w:val="fr-FR"/>
        </w:rPr>
        <w:t xml:space="preserve"> </w:t>
      </w:r>
      <w:r w:rsidR="00627845" w:rsidRPr="00B94E33">
        <w:rPr>
          <w:lang w:val="fr-FR"/>
        </w:rPr>
        <w:t>l</w:t>
      </w:r>
      <w:r w:rsidR="00B94E33" w:rsidRPr="00B94E33">
        <w:rPr>
          <w:lang w:val="fr-FR"/>
        </w:rPr>
        <w:t>’</w:t>
      </w:r>
      <w:r w:rsidR="00E943A9" w:rsidRPr="00B94E33">
        <w:rPr>
          <w:lang w:val="fr-FR"/>
        </w:rPr>
        <w:t xml:space="preserve">invitèrent à rentrer </w:t>
      </w:r>
      <w:r w:rsidR="0049296B" w:rsidRPr="00B94E33">
        <w:rPr>
          <w:lang w:val="fr-FR"/>
        </w:rPr>
        <w:t>chez elle</w:t>
      </w:r>
      <w:r w:rsidR="00E943A9" w:rsidRPr="00B94E33">
        <w:rPr>
          <w:lang w:val="fr-FR"/>
        </w:rPr>
        <w:t xml:space="preserve"> sans lui proposer d</w:t>
      </w:r>
      <w:r w:rsidR="00B94E33" w:rsidRPr="00B94E33">
        <w:rPr>
          <w:lang w:val="fr-FR"/>
        </w:rPr>
        <w:t>’</w:t>
      </w:r>
      <w:r w:rsidR="00E943A9" w:rsidRPr="00B94E33">
        <w:rPr>
          <w:lang w:val="fr-FR"/>
        </w:rPr>
        <w:t>aide et demandèrent à A.T. de s</w:t>
      </w:r>
      <w:r w:rsidR="00B94E33" w:rsidRPr="00B94E33">
        <w:rPr>
          <w:lang w:val="fr-FR"/>
        </w:rPr>
        <w:t>’</w:t>
      </w:r>
      <w:r w:rsidR="00E943A9" w:rsidRPr="00B94E33">
        <w:rPr>
          <w:lang w:val="fr-FR"/>
        </w:rPr>
        <w:t>éloigner d</w:t>
      </w:r>
      <w:r w:rsidR="00B94E33" w:rsidRPr="00B94E33">
        <w:rPr>
          <w:lang w:val="fr-FR"/>
        </w:rPr>
        <w:t>’</w:t>
      </w:r>
      <w:r w:rsidR="00E943A9" w:rsidRPr="00B94E33">
        <w:rPr>
          <w:lang w:val="fr-FR"/>
        </w:rPr>
        <w:t xml:space="preserve">elle. Le requérant fut </w:t>
      </w:r>
      <w:r w:rsidR="0083543C" w:rsidRPr="00B94E33">
        <w:rPr>
          <w:lang w:val="fr-FR"/>
        </w:rPr>
        <w:t>verbalisé</w:t>
      </w:r>
      <w:r w:rsidR="003B486D" w:rsidRPr="00B94E33">
        <w:rPr>
          <w:lang w:val="fr-FR"/>
        </w:rPr>
        <w:t xml:space="preserve"> pour</w:t>
      </w:r>
      <w:r w:rsidR="00627845" w:rsidRPr="00B94E33">
        <w:rPr>
          <w:lang w:val="fr-FR"/>
        </w:rPr>
        <w:t xml:space="preserve"> port d</w:t>
      </w:r>
      <w:r w:rsidR="00B94E33" w:rsidRPr="00B94E33">
        <w:rPr>
          <w:lang w:val="fr-FR"/>
        </w:rPr>
        <w:t>’</w:t>
      </w:r>
      <w:r w:rsidR="00627845" w:rsidRPr="00B94E33">
        <w:rPr>
          <w:lang w:val="fr-FR"/>
        </w:rPr>
        <w:t>arme prohibé</w:t>
      </w:r>
      <w:r w:rsidR="00E943A9" w:rsidRPr="00B94E33">
        <w:rPr>
          <w:lang w:val="fr-FR"/>
        </w:rPr>
        <w:t>.</w:t>
      </w:r>
    </w:p>
    <w:bookmarkStart w:id="3" w:name="para19"/>
    <w:bookmarkStart w:id="4" w:name="para18"/>
    <w:p w:rsidR="00E943A9" w:rsidRPr="00B94E33" w:rsidRDefault="00E943A9" w:rsidP="00B94E33">
      <w:pPr>
        <w:pStyle w:val="ECHRPara"/>
        <w:rPr>
          <w:lang w:val="fr-FR"/>
        </w:rPr>
      </w:pPr>
      <w:r w:rsidRPr="00B94E33">
        <w:fldChar w:fldCharType="begin"/>
      </w:r>
      <w:r w:rsidRPr="00B94E33">
        <w:rPr>
          <w:lang w:val="fr-FR"/>
        </w:rPr>
        <w:instrText xml:space="preserve"> SEQ level0 \*arabic </w:instrText>
      </w:r>
      <w:r w:rsidRPr="00B94E33">
        <w:fldChar w:fldCharType="separate"/>
      </w:r>
      <w:r w:rsidR="00B94E33" w:rsidRPr="00B94E33">
        <w:rPr>
          <w:noProof/>
          <w:lang w:val="fr-FR"/>
        </w:rPr>
        <w:t>16</w:t>
      </w:r>
      <w:r w:rsidRPr="00B94E33">
        <w:fldChar w:fldCharType="end"/>
      </w:r>
      <w:bookmarkEnd w:id="3"/>
      <w:bookmarkEnd w:id="4"/>
      <w:r w:rsidRPr="00B94E33">
        <w:rPr>
          <w:lang w:val="fr-FR"/>
        </w:rPr>
        <w:t xml:space="preserve">.  Peu de temps après être rentrée </w:t>
      </w:r>
      <w:r w:rsidR="00DD706F" w:rsidRPr="00B94E33">
        <w:rPr>
          <w:lang w:val="fr-FR"/>
        </w:rPr>
        <w:t>chez elle</w:t>
      </w:r>
      <w:r w:rsidRPr="00B94E33">
        <w:rPr>
          <w:lang w:val="fr-FR"/>
        </w:rPr>
        <w:t>, la requérante appela les urgences</w:t>
      </w:r>
      <w:r w:rsidR="00DD706F" w:rsidRPr="00B94E33">
        <w:rPr>
          <w:lang w:val="fr-FR"/>
        </w:rPr>
        <w:t xml:space="preserve"> et</w:t>
      </w:r>
      <w:r w:rsidRPr="00B94E33">
        <w:rPr>
          <w:lang w:val="fr-FR"/>
        </w:rPr>
        <w:t xml:space="preserve"> fut transportée à l</w:t>
      </w:r>
      <w:r w:rsidR="00B94E33" w:rsidRPr="00B94E33">
        <w:rPr>
          <w:lang w:val="fr-FR"/>
        </w:rPr>
        <w:t>’</w:t>
      </w:r>
      <w:r w:rsidRPr="00B94E33">
        <w:rPr>
          <w:lang w:val="fr-FR"/>
        </w:rPr>
        <w:t xml:space="preserve">hôpital. Les médecins constatèrent, entre autres, </w:t>
      </w:r>
      <w:r w:rsidR="00DD706F" w:rsidRPr="00B94E33">
        <w:rPr>
          <w:lang w:val="fr-FR"/>
        </w:rPr>
        <w:t>qu</w:t>
      </w:r>
      <w:r w:rsidR="00B94E33" w:rsidRPr="00B94E33">
        <w:rPr>
          <w:lang w:val="fr-FR"/>
        </w:rPr>
        <w:t>’</w:t>
      </w:r>
      <w:r w:rsidR="00DD706F" w:rsidRPr="00B94E33">
        <w:rPr>
          <w:lang w:val="fr-FR"/>
        </w:rPr>
        <w:t>elle souffrait d</w:t>
      </w:r>
      <w:r w:rsidR="00B94E33" w:rsidRPr="00B94E33">
        <w:rPr>
          <w:lang w:val="fr-FR"/>
        </w:rPr>
        <w:t>’</w:t>
      </w:r>
      <w:r w:rsidRPr="00B94E33">
        <w:rPr>
          <w:lang w:val="fr-FR"/>
        </w:rPr>
        <w:t xml:space="preserve">un traumatisme crânien, </w:t>
      </w:r>
      <w:r w:rsidR="00DD706F" w:rsidRPr="00B94E33">
        <w:rPr>
          <w:lang w:val="fr-FR"/>
        </w:rPr>
        <w:t>d</w:t>
      </w:r>
      <w:r w:rsidR="00B94E33" w:rsidRPr="00B94E33">
        <w:rPr>
          <w:lang w:val="fr-FR"/>
        </w:rPr>
        <w:t>’</w:t>
      </w:r>
      <w:r w:rsidRPr="00B94E33">
        <w:rPr>
          <w:lang w:val="fr-FR"/>
        </w:rPr>
        <w:t xml:space="preserve">une blessure à la tête, de multiples excoriations sur le corps et </w:t>
      </w:r>
      <w:r w:rsidR="00DD706F" w:rsidRPr="00B94E33">
        <w:rPr>
          <w:lang w:val="fr-FR"/>
        </w:rPr>
        <w:t>d</w:t>
      </w:r>
      <w:r w:rsidR="00B94E33" w:rsidRPr="00B94E33">
        <w:rPr>
          <w:lang w:val="fr-FR"/>
        </w:rPr>
        <w:t>’</w:t>
      </w:r>
      <w:r w:rsidRPr="00B94E33">
        <w:rPr>
          <w:lang w:val="fr-FR"/>
        </w:rPr>
        <w:t>un hématome sur la poitrine. Ses blessures furent jugées soignables en sept jours.</w:t>
      </w:r>
    </w:p>
    <w:p w:rsidR="00E943A9" w:rsidRPr="00B94E33" w:rsidRDefault="00971F5F" w:rsidP="00B94E33">
      <w:pPr>
        <w:pStyle w:val="ECHRHeading3"/>
        <w:rPr>
          <w:lang w:val="fr-FR"/>
        </w:rPr>
      </w:pPr>
      <w:r w:rsidRPr="00B94E33">
        <w:rPr>
          <w:lang w:val="fr-FR"/>
        </w:rPr>
        <w:t>b)</w:t>
      </w:r>
      <w:r w:rsidR="002B39AA" w:rsidRPr="00B94E33">
        <w:rPr>
          <w:lang w:val="fr-FR"/>
        </w:rPr>
        <w:t>  </w:t>
      </w:r>
      <w:r w:rsidR="00E943A9" w:rsidRPr="00B94E33">
        <w:rPr>
          <w:lang w:val="fr-FR"/>
        </w:rPr>
        <w:t>La version du Gouvernement</w:t>
      </w:r>
    </w:p>
    <w:p w:rsidR="00E943A9" w:rsidRPr="00B94E33" w:rsidRDefault="00E943A9" w:rsidP="00B94E33">
      <w:pPr>
        <w:pStyle w:val="ECHRPara"/>
        <w:rPr>
          <w:bCs/>
          <w:lang w:val="fr-FR"/>
        </w:rPr>
      </w:pPr>
      <w:r w:rsidRPr="00B94E33">
        <w:rPr>
          <w:bCs/>
          <w:lang w:val="fr-FR"/>
        </w:rPr>
        <w:fldChar w:fldCharType="begin"/>
      </w:r>
      <w:r w:rsidRPr="00B94E33">
        <w:rPr>
          <w:bCs/>
          <w:lang w:val="fr-FR"/>
        </w:rPr>
        <w:instrText xml:space="preserve"> SEQ level0 \*arabic </w:instrText>
      </w:r>
      <w:r w:rsidRPr="00B94E33">
        <w:rPr>
          <w:bCs/>
          <w:lang w:val="fr-FR"/>
        </w:rPr>
        <w:fldChar w:fldCharType="separate"/>
      </w:r>
      <w:r w:rsidR="00B94E33" w:rsidRPr="00B94E33">
        <w:rPr>
          <w:bCs/>
          <w:noProof/>
          <w:lang w:val="fr-FR"/>
        </w:rPr>
        <w:t>17</w:t>
      </w:r>
      <w:r w:rsidRPr="00B94E33">
        <w:rPr>
          <w:bCs/>
          <w:lang w:val="fr-FR"/>
        </w:rPr>
        <w:fldChar w:fldCharType="end"/>
      </w:r>
      <w:r w:rsidRPr="00B94E33">
        <w:rPr>
          <w:bCs/>
          <w:lang w:val="fr-FR"/>
        </w:rPr>
        <w:t>.  </w:t>
      </w:r>
      <w:r w:rsidR="005003EB" w:rsidRPr="00B94E33">
        <w:rPr>
          <w:bCs/>
          <w:lang w:val="fr-FR"/>
        </w:rPr>
        <w:t>Le Gouvernement indique que, s</w:t>
      </w:r>
      <w:r w:rsidRPr="00B94E33">
        <w:rPr>
          <w:bCs/>
          <w:lang w:val="fr-FR"/>
        </w:rPr>
        <w:t xml:space="preserve">elon le rapport </w:t>
      </w:r>
      <w:r w:rsidR="00DD706F" w:rsidRPr="00B94E33">
        <w:rPr>
          <w:bCs/>
          <w:lang w:val="fr-FR"/>
        </w:rPr>
        <w:t>d</w:t>
      </w:r>
      <w:r w:rsidR="00B94E33" w:rsidRPr="00B94E33">
        <w:rPr>
          <w:bCs/>
          <w:lang w:val="fr-FR"/>
        </w:rPr>
        <w:t>’</w:t>
      </w:r>
      <w:r w:rsidRPr="00B94E33">
        <w:rPr>
          <w:bCs/>
          <w:lang w:val="fr-FR"/>
        </w:rPr>
        <w:t>intervention</w:t>
      </w:r>
      <w:r w:rsidR="00DD706F" w:rsidRPr="00B94E33">
        <w:rPr>
          <w:bCs/>
          <w:lang w:val="fr-FR"/>
        </w:rPr>
        <w:t xml:space="preserve"> rédigé par les policiers</w:t>
      </w:r>
      <w:r w:rsidRPr="00B94E33">
        <w:rPr>
          <w:bCs/>
          <w:lang w:val="fr-FR"/>
        </w:rPr>
        <w:t xml:space="preserve">, </w:t>
      </w:r>
      <w:r w:rsidR="00DD706F" w:rsidRPr="00B94E33">
        <w:rPr>
          <w:bCs/>
          <w:lang w:val="fr-FR"/>
        </w:rPr>
        <w:t xml:space="preserve">ceux-ci </w:t>
      </w:r>
      <w:r w:rsidR="005003EB" w:rsidRPr="00B94E33">
        <w:rPr>
          <w:bCs/>
          <w:lang w:val="fr-FR"/>
        </w:rPr>
        <w:t xml:space="preserve">sont </w:t>
      </w:r>
      <w:r w:rsidR="005D38F8" w:rsidRPr="00B94E33">
        <w:rPr>
          <w:bCs/>
          <w:lang w:val="fr-FR"/>
        </w:rPr>
        <w:t>arriv</w:t>
      </w:r>
      <w:r w:rsidR="005003EB" w:rsidRPr="00B94E33">
        <w:rPr>
          <w:bCs/>
          <w:lang w:val="fr-FR"/>
        </w:rPr>
        <w:t>és</w:t>
      </w:r>
      <w:r w:rsidR="005D38F8" w:rsidRPr="00B94E33">
        <w:rPr>
          <w:bCs/>
          <w:lang w:val="fr-FR"/>
        </w:rPr>
        <w:t xml:space="preserve"> </w:t>
      </w:r>
      <w:r w:rsidRPr="00B94E33">
        <w:rPr>
          <w:bCs/>
          <w:lang w:val="fr-FR"/>
        </w:rPr>
        <w:t>rue Leopardi peu après minuit</w:t>
      </w:r>
      <w:r w:rsidR="005D38F8" w:rsidRPr="00B94E33">
        <w:rPr>
          <w:bCs/>
          <w:lang w:val="fr-FR"/>
        </w:rPr>
        <w:t>.</w:t>
      </w:r>
      <w:r w:rsidRPr="00B94E33">
        <w:rPr>
          <w:bCs/>
          <w:lang w:val="fr-FR"/>
        </w:rPr>
        <w:t xml:space="preserve"> </w:t>
      </w:r>
      <w:r w:rsidR="005D38F8" w:rsidRPr="00B94E33">
        <w:rPr>
          <w:bCs/>
          <w:lang w:val="fr-FR"/>
        </w:rPr>
        <w:t>L</w:t>
      </w:r>
      <w:r w:rsidRPr="00B94E33">
        <w:rPr>
          <w:bCs/>
          <w:lang w:val="fr-FR"/>
        </w:rPr>
        <w:t xml:space="preserve">a requérante </w:t>
      </w:r>
      <w:r w:rsidR="005D38F8" w:rsidRPr="00B94E33">
        <w:rPr>
          <w:bCs/>
          <w:lang w:val="fr-FR"/>
        </w:rPr>
        <w:t xml:space="preserve">les </w:t>
      </w:r>
      <w:r w:rsidR="005003EB" w:rsidRPr="00B94E33">
        <w:rPr>
          <w:bCs/>
          <w:lang w:val="fr-FR"/>
        </w:rPr>
        <w:t xml:space="preserve">aurait </w:t>
      </w:r>
      <w:r w:rsidR="005D38F8" w:rsidRPr="00B94E33">
        <w:rPr>
          <w:bCs/>
          <w:lang w:val="fr-FR"/>
        </w:rPr>
        <w:t>inform</w:t>
      </w:r>
      <w:r w:rsidR="005003EB" w:rsidRPr="00B94E33">
        <w:rPr>
          <w:bCs/>
          <w:lang w:val="fr-FR"/>
        </w:rPr>
        <w:t>és</w:t>
      </w:r>
      <w:r w:rsidR="005D38F8" w:rsidRPr="00B94E33">
        <w:rPr>
          <w:bCs/>
          <w:lang w:val="fr-FR"/>
        </w:rPr>
        <w:t xml:space="preserve"> </w:t>
      </w:r>
      <w:r w:rsidR="00715896" w:rsidRPr="00B94E33">
        <w:rPr>
          <w:bCs/>
          <w:lang w:val="fr-FR"/>
        </w:rPr>
        <w:t>qu</w:t>
      </w:r>
      <w:r w:rsidR="00B94E33" w:rsidRPr="00B94E33">
        <w:rPr>
          <w:bCs/>
          <w:lang w:val="fr-FR"/>
        </w:rPr>
        <w:t>’</w:t>
      </w:r>
      <w:r w:rsidR="00715896" w:rsidRPr="00B94E33">
        <w:rPr>
          <w:bCs/>
          <w:lang w:val="fr-FR"/>
        </w:rPr>
        <w:t xml:space="preserve">elle avait </w:t>
      </w:r>
      <w:r w:rsidRPr="00B94E33">
        <w:rPr>
          <w:bCs/>
          <w:lang w:val="fr-FR"/>
        </w:rPr>
        <w:t>été frappée au visage</w:t>
      </w:r>
      <w:r w:rsidR="005D38F8" w:rsidRPr="00B94E33">
        <w:rPr>
          <w:bCs/>
          <w:lang w:val="fr-FR"/>
        </w:rPr>
        <w:t>.</w:t>
      </w:r>
      <w:r w:rsidRPr="00B94E33">
        <w:rPr>
          <w:bCs/>
          <w:lang w:val="fr-FR"/>
        </w:rPr>
        <w:t xml:space="preserve"> A.T. </w:t>
      </w:r>
      <w:r w:rsidR="005003EB" w:rsidRPr="00B94E33">
        <w:rPr>
          <w:bCs/>
          <w:lang w:val="fr-FR"/>
        </w:rPr>
        <w:t xml:space="preserve">aurait </w:t>
      </w:r>
      <w:r w:rsidR="005D38F8" w:rsidRPr="00B94E33">
        <w:rPr>
          <w:bCs/>
          <w:lang w:val="fr-FR"/>
        </w:rPr>
        <w:t>donn</w:t>
      </w:r>
      <w:r w:rsidR="005003EB" w:rsidRPr="00B94E33">
        <w:rPr>
          <w:bCs/>
          <w:lang w:val="fr-FR"/>
        </w:rPr>
        <w:t>é</w:t>
      </w:r>
      <w:r w:rsidR="005D38F8" w:rsidRPr="00B94E33">
        <w:rPr>
          <w:bCs/>
          <w:lang w:val="fr-FR"/>
        </w:rPr>
        <w:t xml:space="preserve"> un </w:t>
      </w:r>
      <w:r w:rsidRPr="00B94E33">
        <w:rPr>
          <w:bCs/>
          <w:lang w:val="fr-FR"/>
        </w:rPr>
        <w:t xml:space="preserve">couteau aux policiers. La requérante </w:t>
      </w:r>
      <w:r w:rsidR="00627845" w:rsidRPr="00B94E33">
        <w:rPr>
          <w:bCs/>
          <w:lang w:val="fr-FR"/>
        </w:rPr>
        <w:t xml:space="preserve">aurait </w:t>
      </w:r>
      <w:r w:rsidR="005D38F8" w:rsidRPr="00B94E33">
        <w:rPr>
          <w:bCs/>
          <w:lang w:val="fr-FR"/>
        </w:rPr>
        <w:t xml:space="preserve">dit aux </w:t>
      </w:r>
      <w:r w:rsidRPr="00B94E33">
        <w:rPr>
          <w:bCs/>
          <w:lang w:val="fr-FR"/>
        </w:rPr>
        <w:t xml:space="preserve">policiers </w:t>
      </w:r>
      <w:r w:rsidR="005D38F8" w:rsidRPr="00B94E33">
        <w:rPr>
          <w:bCs/>
          <w:lang w:val="fr-FR"/>
        </w:rPr>
        <w:t>qu</w:t>
      </w:r>
      <w:r w:rsidR="00B94E33" w:rsidRPr="00B94E33">
        <w:rPr>
          <w:bCs/>
          <w:lang w:val="fr-FR"/>
        </w:rPr>
        <w:t>’</w:t>
      </w:r>
      <w:r w:rsidR="005D38F8" w:rsidRPr="00B94E33">
        <w:rPr>
          <w:bCs/>
          <w:lang w:val="fr-FR"/>
        </w:rPr>
        <w:t>elle voulait aller</w:t>
      </w:r>
      <w:r w:rsidRPr="00B94E33">
        <w:rPr>
          <w:bCs/>
          <w:lang w:val="fr-FR"/>
        </w:rPr>
        <w:t xml:space="preserve"> </w:t>
      </w:r>
      <w:r w:rsidR="00715896" w:rsidRPr="00B94E33">
        <w:rPr>
          <w:bCs/>
          <w:lang w:val="fr-FR"/>
        </w:rPr>
        <w:t>à</w:t>
      </w:r>
      <w:r w:rsidRPr="00B94E33">
        <w:rPr>
          <w:bCs/>
          <w:lang w:val="fr-FR"/>
        </w:rPr>
        <w:t xml:space="preserve"> l</w:t>
      </w:r>
      <w:r w:rsidR="00B94E33" w:rsidRPr="00B94E33">
        <w:rPr>
          <w:bCs/>
          <w:lang w:val="fr-FR"/>
        </w:rPr>
        <w:t>’</w:t>
      </w:r>
      <w:r w:rsidRPr="00B94E33">
        <w:rPr>
          <w:bCs/>
          <w:lang w:val="fr-FR"/>
        </w:rPr>
        <w:t xml:space="preserve">hôpital </w:t>
      </w:r>
      <w:r w:rsidR="005D38F8" w:rsidRPr="00B94E33">
        <w:rPr>
          <w:bCs/>
          <w:lang w:val="fr-FR"/>
        </w:rPr>
        <w:t xml:space="preserve">pour </w:t>
      </w:r>
      <w:r w:rsidRPr="00B94E33">
        <w:rPr>
          <w:bCs/>
          <w:lang w:val="fr-FR"/>
        </w:rPr>
        <w:t>fai</w:t>
      </w:r>
      <w:r w:rsidR="00715896" w:rsidRPr="00B94E33">
        <w:rPr>
          <w:bCs/>
          <w:lang w:val="fr-FR"/>
        </w:rPr>
        <w:t xml:space="preserve">re constater ses blessures. </w:t>
      </w:r>
      <w:r w:rsidR="005D38F8" w:rsidRPr="00B94E33">
        <w:rPr>
          <w:bCs/>
          <w:lang w:val="fr-FR"/>
        </w:rPr>
        <w:t>Elle</w:t>
      </w:r>
      <w:r w:rsidRPr="00B94E33">
        <w:rPr>
          <w:bCs/>
          <w:lang w:val="fr-FR"/>
        </w:rPr>
        <w:t xml:space="preserve"> s</w:t>
      </w:r>
      <w:r w:rsidR="00B94E33" w:rsidRPr="00B94E33">
        <w:rPr>
          <w:bCs/>
          <w:lang w:val="fr-FR"/>
        </w:rPr>
        <w:t>’</w:t>
      </w:r>
      <w:r w:rsidR="005D38F8" w:rsidRPr="00B94E33">
        <w:rPr>
          <w:bCs/>
          <w:lang w:val="fr-FR"/>
        </w:rPr>
        <w:t>y</w:t>
      </w:r>
      <w:r w:rsidRPr="00B94E33">
        <w:rPr>
          <w:bCs/>
          <w:lang w:val="fr-FR"/>
        </w:rPr>
        <w:t xml:space="preserve"> </w:t>
      </w:r>
      <w:r w:rsidR="005003EB" w:rsidRPr="00B94E33">
        <w:rPr>
          <w:bCs/>
          <w:lang w:val="fr-FR"/>
        </w:rPr>
        <w:t xml:space="preserve">serait </w:t>
      </w:r>
      <w:r w:rsidRPr="00B94E33">
        <w:rPr>
          <w:bCs/>
          <w:lang w:val="fr-FR"/>
        </w:rPr>
        <w:t>rend</w:t>
      </w:r>
      <w:r w:rsidR="005003EB" w:rsidRPr="00B94E33">
        <w:rPr>
          <w:bCs/>
          <w:lang w:val="fr-FR"/>
        </w:rPr>
        <w:t>ue</w:t>
      </w:r>
      <w:r w:rsidRPr="00B94E33">
        <w:rPr>
          <w:bCs/>
          <w:lang w:val="fr-FR"/>
        </w:rPr>
        <w:t xml:space="preserve"> et A.T. </w:t>
      </w:r>
      <w:r w:rsidR="005003EB" w:rsidRPr="00B94E33">
        <w:rPr>
          <w:bCs/>
          <w:lang w:val="fr-FR"/>
        </w:rPr>
        <w:t xml:space="preserve">serait </w:t>
      </w:r>
      <w:r w:rsidRPr="00B94E33">
        <w:rPr>
          <w:bCs/>
          <w:lang w:val="fr-FR"/>
        </w:rPr>
        <w:t>rentr</w:t>
      </w:r>
      <w:r w:rsidR="005003EB" w:rsidRPr="00B94E33">
        <w:rPr>
          <w:bCs/>
          <w:lang w:val="fr-FR"/>
        </w:rPr>
        <w:t>é</w:t>
      </w:r>
      <w:r w:rsidRPr="00B94E33">
        <w:rPr>
          <w:bCs/>
          <w:lang w:val="fr-FR"/>
        </w:rPr>
        <w:t xml:space="preserve"> </w:t>
      </w:r>
      <w:r w:rsidR="005D38F8" w:rsidRPr="00B94E33">
        <w:rPr>
          <w:bCs/>
          <w:lang w:val="fr-FR"/>
        </w:rPr>
        <w:t>chez lui</w:t>
      </w:r>
      <w:r w:rsidRPr="00B94E33">
        <w:rPr>
          <w:bCs/>
          <w:lang w:val="fr-FR"/>
        </w:rPr>
        <w:t xml:space="preserve">. Le couteau </w:t>
      </w:r>
      <w:r w:rsidR="005003EB" w:rsidRPr="00B94E33">
        <w:rPr>
          <w:bCs/>
          <w:lang w:val="fr-FR"/>
        </w:rPr>
        <w:t>aurait été</w:t>
      </w:r>
      <w:r w:rsidRPr="00B94E33">
        <w:rPr>
          <w:bCs/>
          <w:lang w:val="fr-FR"/>
        </w:rPr>
        <w:t xml:space="preserve"> saisi et le requérant </w:t>
      </w:r>
      <w:r w:rsidR="005D38F8" w:rsidRPr="00B94E33">
        <w:rPr>
          <w:bCs/>
          <w:lang w:val="fr-FR"/>
        </w:rPr>
        <w:t xml:space="preserve">verbalisé </w:t>
      </w:r>
      <w:r w:rsidRPr="00B94E33">
        <w:rPr>
          <w:bCs/>
          <w:lang w:val="fr-FR"/>
        </w:rPr>
        <w:t>pour port</w:t>
      </w:r>
      <w:r w:rsidR="00E31D27" w:rsidRPr="00B94E33">
        <w:rPr>
          <w:bCs/>
          <w:lang w:val="fr-FR"/>
        </w:rPr>
        <w:t xml:space="preserve"> </w:t>
      </w:r>
      <w:r w:rsidRPr="00B94E33">
        <w:rPr>
          <w:bCs/>
          <w:lang w:val="fr-FR"/>
        </w:rPr>
        <w:t>d</w:t>
      </w:r>
      <w:r w:rsidR="00B94E33" w:rsidRPr="00B94E33">
        <w:rPr>
          <w:bCs/>
          <w:lang w:val="fr-FR"/>
        </w:rPr>
        <w:t>’</w:t>
      </w:r>
      <w:r w:rsidRPr="00B94E33">
        <w:rPr>
          <w:bCs/>
          <w:lang w:val="fr-FR"/>
        </w:rPr>
        <w:t>arme</w:t>
      </w:r>
      <w:r w:rsidR="00E31D27" w:rsidRPr="00B94E33">
        <w:rPr>
          <w:bCs/>
          <w:lang w:val="fr-FR"/>
        </w:rPr>
        <w:t xml:space="preserve"> prohibé</w:t>
      </w:r>
      <w:r w:rsidR="005D38F8" w:rsidRPr="00B94E33">
        <w:rPr>
          <w:bCs/>
          <w:lang w:val="fr-FR"/>
        </w:rPr>
        <w:t>.</w:t>
      </w:r>
    </w:p>
    <w:p w:rsidR="00E943A9" w:rsidRPr="00B94E33" w:rsidRDefault="00971F5F" w:rsidP="00B94E33">
      <w:pPr>
        <w:pStyle w:val="ECHRHeading2"/>
        <w:rPr>
          <w:lang w:val="fr-FR"/>
        </w:rPr>
      </w:pPr>
      <w:r w:rsidRPr="00B94E33">
        <w:rPr>
          <w:lang w:val="fr-FR"/>
        </w:rPr>
        <w:t>3</w:t>
      </w:r>
      <w:r w:rsidR="00E943A9" w:rsidRPr="00B94E33">
        <w:rPr>
          <w:lang w:val="fr-FR"/>
        </w:rPr>
        <w:t>.</w:t>
      </w:r>
      <w:r w:rsidR="002B39AA" w:rsidRPr="00B94E33">
        <w:rPr>
          <w:lang w:val="fr-FR"/>
        </w:rPr>
        <w:t>  </w:t>
      </w:r>
      <w:r w:rsidR="000C5A6B" w:rsidRPr="00B94E33">
        <w:rPr>
          <w:lang w:val="fr-FR"/>
        </w:rPr>
        <w:t xml:space="preserve">La </w:t>
      </w:r>
      <w:r w:rsidR="00E943A9" w:rsidRPr="00B94E33">
        <w:rPr>
          <w:lang w:val="fr-FR"/>
        </w:rPr>
        <w:t>plainte de la requérante</w:t>
      </w:r>
    </w:p>
    <w:p w:rsidR="00E943A9" w:rsidRPr="00B94E33" w:rsidRDefault="00E943A9"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18</w:t>
      </w:r>
      <w:r w:rsidRPr="00B94E33">
        <w:rPr>
          <w:lang w:val="fr-FR"/>
        </w:rPr>
        <w:fldChar w:fldCharType="end"/>
      </w:r>
      <w:r w:rsidRPr="00B94E33">
        <w:rPr>
          <w:lang w:val="fr-FR"/>
        </w:rPr>
        <w:t>.  </w:t>
      </w:r>
      <w:r w:rsidR="005D38F8" w:rsidRPr="00B94E33">
        <w:rPr>
          <w:lang w:val="fr-FR"/>
        </w:rPr>
        <w:t>À</w:t>
      </w:r>
      <w:r w:rsidRPr="00B94E33">
        <w:rPr>
          <w:lang w:val="fr-FR"/>
        </w:rPr>
        <w:t xml:space="preserve"> l</w:t>
      </w:r>
      <w:r w:rsidR="00B94E33" w:rsidRPr="00B94E33">
        <w:rPr>
          <w:lang w:val="fr-FR"/>
        </w:rPr>
        <w:t>’</w:t>
      </w:r>
      <w:r w:rsidRPr="00B94E33">
        <w:rPr>
          <w:lang w:val="fr-FR"/>
        </w:rPr>
        <w:t xml:space="preserve">hôpital, la requérante </w:t>
      </w:r>
      <w:r w:rsidR="005D38F8" w:rsidRPr="00B94E33">
        <w:rPr>
          <w:lang w:val="fr-FR"/>
        </w:rPr>
        <w:t xml:space="preserve">fut entendue par </w:t>
      </w:r>
      <w:r w:rsidRPr="00B94E33">
        <w:rPr>
          <w:lang w:val="fr-FR"/>
        </w:rPr>
        <w:t xml:space="preserve">une assistante sociale. Lors de </w:t>
      </w:r>
      <w:r w:rsidR="005D38F8" w:rsidRPr="00B94E33">
        <w:rPr>
          <w:lang w:val="fr-FR"/>
        </w:rPr>
        <w:t>cet entretien</w:t>
      </w:r>
      <w:r w:rsidR="001B4137" w:rsidRPr="00B94E33">
        <w:rPr>
          <w:lang w:val="fr-FR"/>
        </w:rPr>
        <w:t>,</w:t>
      </w:r>
      <w:r w:rsidR="005D38F8" w:rsidRPr="00B94E33">
        <w:rPr>
          <w:lang w:val="fr-FR"/>
        </w:rPr>
        <w:t xml:space="preserve"> </w:t>
      </w:r>
      <w:r w:rsidR="001B4137" w:rsidRPr="00B94E33">
        <w:rPr>
          <w:lang w:val="fr-FR"/>
        </w:rPr>
        <w:t>elle</w:t>
      </w:r>
      <w:r w:rsidRPr="00B94E33">
        <w:rPr>
          <w:lang w:val="fr-FR"/>
        </w:rPr>
        <w:t xml:space="preserve"> </w:t>
      </w:r>
      <w:r w:rsidR="001B4137" w:rsidRPr="00B94E33">
        <w:rPr>
          <w:lang w:val="fr-FR"/>
        </w:rPr>
        <w:t>déclara qu</w:t>
      </w:r>
      <w:r w:rsidR="00B94E33" w:rsidRPr="00B94E33">
        <w:rPr>
          <w:lang w:val="fr-FR"/>
        </w:rPr>
        <w:t>’</w:t>
      </w:r>
      <w:r w:rsidR="001B4137" w:rsidRPr="00B94E33">
        <w:rPr>
          <w:lang w:val="fr-FR"/>
        </w:rPr>
        <w:t>elle refusait</w:t>
      </w:r>
      <w:r w:rsidR="005D38F8" w:rsidRPr="00B94E33">
        <w:rPr>
          <w:lang w:val="fr-FR"/>
        </w:rPr>
        <w:t xml:space="preserve"> </w:t>
      </w:r>
      <w:r w:rsidRPr="00B94E33">
        <w:rPr>
          <w:lang w:val="fr-FR"/>
        </w:rPr>
        <w:t xml:space="preserve">de </w:t>
      </w:r>
      <w:r w:rsidR="005003EB" w:rsidRPr="00B94E33">
        <w:rPr>
          <w:lang w:val="fr-FR"/>
        </w:rPr>
        <w:t xml:space="preserve">revenir </w:t>
      </w:r>
      <w:r w:rsidR="005D38F8" w:rsidRPr="00B94E33">
        <w:rPr>
          <w:lang w:val="fr-FR"/>
        </w:rPr>
        <w:t>chez elle</w:t>
      </w:r>
      <w:r w:rsidR="005003EB" w:rsidRPr="00B94E33">
        <w:rPr>
          <w:lang w:val="fr-FR"/>
        </w:rPr>
        <w:t xml:space="preserve"> et d</w:t>
      </w:r>
      <w:r w:rsidR="00B94E33" w:rsidRPr="00B94E33">
        <w:rPr>
          <w:lang w:val="fr-FR"/>
        </w:rPr>
        <w:t>’</w:t>
      </w:r>
      <w:r w:rsidR="005003EB" w:rsidRPr="00B94E33">
        <w:rPr>
          <w:lang w:val="fr-FR"/>
        </w:rPr>
        <w:t>y</w:t>
      </w:r>
      <w:r w:rsidR="001B4137" w:rsidRPr="00B94E33">
        <w:rPr>
          <w:lang w:val="fr-FR"/>
        </w:rPr>
        <w:t xml:space="preserve"> </w:t>
      </w:r>
      <w:r w:rsidR="005003EB" w:rsidRPr="00B94E33">
        <w:rPr>
          <w:lang w:val="fr-FR"/>
        </w:rPr>
        <w:t>re</w:t>
      </w:r>
      <w:r w:rsidR="001B4137" w:rsidRPr="00B94E33">
        <w:rPr>
          <w:lang w:val="fr-FR"/>
        </w:rPr>
        <w:t>trouv</w:t>
      </w:r>
      <w:r w:rsidR="005003EB" w:rsidRPr="00B94E33">
        <w:rPr>
          <w:lang w:val="fr-FR"/>
        </w:rPr>
        <w:t>er</w:t>
      </w:r>
      <w:r w:rsidRPr="00B94E33">
        <w:rPr>
          <w:lang w:val="fr-FR"/>
        </w:rPr>
        <w:t xml:space="preserve"> son mari. Elle fut alors hébergée par </w:t>
      </w:r>
      <w:r w:rsidR="00627845" w:rsidRPr="00B94E33">
        <w:rPr>
          <w:lang w:val="fr-FR"/>
        </w:rPr>
        <w:t xml:space="preserve">une </w:t>
      </w:r>
      <w:r w:rsidRPr="00B94E33">
        <w:rPr>
          <w:lang w:val="fr-FR"/>
        </w:rPr>
        <w:t xml:space="preserve">association de protection </w:t>
      </w:r>
      <w:r w:rsidR="001B4137" w:rsidRPr="00B94E33">
        <w:rPr>
          <w:lang w:val="fr-FR"/>
        </w:rPr>
        <w:t>des</w:t>
      </w:r>
      <w:r w:rsidRPr="00B94E33">
        <w:rPr>
          <w:lang w:val="fr-FR"/>
        </w:rPr>
        <w:t xml:space="preserve"> femmes victimes de violence</w:t>
      </w:r>
      <w:r w:rsidR="000310CA" w:rsidRPr="00B94E33">
        <w:rPr>
          <w:lang w:val="fr-FR"/>
        </w:rPr>
        <w:t>s</w:t>
      </w:r>
      <w:r w:rsidR="00627845" w:rsidRPr="00B94E33">
        <w:rPr>
          <w:lang w:val="fr-FR"/>
        </w:rPr>
        <w:t>,</w:t>
      </w:r>
      <w:r w:rsidRPr="00B94E33">
        <w:rPr>
          <w:lang w:val="fr-FR"/>
        </w:rPr>
        <w:t xml:space="preserve"> IOTUNOIVOI</w:t>
      </w:r>
      <w:r w:rsidR="005003EB" w:rsidRPr="00B94E33">
        <w:rPr>
          <w:lang w:val="fr-FR"/>
        </w:rPr>
        <w:t xml:space="preserve"> (« l</w:t>
      </w:r>
      <w:r w:rsidR="00B94E33" w:rsidRPr="00B94E33">
        <w:rPr>
          <w:lang w:val="fr-FR"/>
        </w:rPr>
        <w:t>’</w:t>
      </w:r>
      <w:r w:rsidR="005003EB" w:rsidRPr="00B94E33">
        <w:rPr>
          <w:lang w:val="fr-FR"/>
        </w:rPr>
        <w:t>association</w:t>
      </w:r>
      <w:r w:rsidRPr="00B94E33">
        <w:rPr>
          <w:lang w:val="fr-FR"/>
        </w:rPr>
        <w:t> »</w:t>
      </w:r>
      <w:r w:rsidR="005003EB" w:rsidRPr="00B94E33">
        <w:rPr>
          <w:lang w:val="fr-FR"/>
        </w:rPr>
        <w:t>)</w:t>
      </w:r>
      <w:r w:rsidRPr="00B94E33">
        <w:rPr>
          <w:lang w:val="fr-FR"/>
        </w:rPr>
        <w:t>.</w:t>
      </w:r>
    </w:p>
    <w:p w:rsidR="00E943A9" w:rsidRPr="00B94E33" w:rsidRDefault="00E943A9"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19</w:t>
      </w:r>
      <w:r w:rsidRPr="00B94E33">
        <w:rPr>
          <w:lang w:val="fr-FR"/>
        </w:rPr>
        <w:fldChar w:fldCharType="end"/>
      </w:r>
      <w:r w:rsidRPr="00B94E33">
        <w:rPr>
          <w:lang w:val="fr-FR"/>
        </w:rPr>
        <w:t xml:space="preserve">.  Le président du centre </w:t>
      </w:r>
      <w:r w:rsidR="005E3020" w:rsidRPr="00B94E33">
        <w:rPr>
          <w:lang w:val="fr-FR"/>
        </w:rPr>
        <w:t>d</w:t>
      </w:r>
      <w:r w:rsidR="00B94E33" w:rsidRPr="00B94E33">
        <w:rPr>
          <w:lang w:val="fr-FR"/>
        </w:rPr>
        <w:t>’</w:t>
      </w:r>
      <w:r w:rsidR="005E3020" w:rsidRPr="00B94E33">
        <w:rPr>
          <w:lang w:val="fr-FR"/>
        </w:rPr>
        <w:t>hébergement</w:t>
      </w:r>
      <w:r w:rsidR="001B4137" w:rsidRPr="00B94E33">
        <w:rPr>
          <w:lang w:val="fr-FR"/>
        </w:rPr>
        <w:t xml:space="preserve"> </w:t>
      </w:r>
      <w:r w:rsidRPr="00B94E33">
        <w:rPr>
          <w:lang w:val="fr-FR"/>
        </w:rPr>
        <w:t xml:space="preserve">et </w:t>
      </w:r>
      <w:r w:rsidR="001B4137" w:rsidRPr="00B94E33">
        <w:rPr>
          <w:lang w:val="fr-FR"/>
        </w:rPr>
        <w:t>d</w:t>
      </w:r>
      <w:r w:rsidRPr="00B94E33">
        <w:rPr>
          <w:lang w:val="fr-FR"/>
        </w:rPr>
        <w:t>es policiers se rendirent dans la cave de l</w:t>
      </w:r>
      <w:r w:rsidR="00B94E33" w:rsidRPr="00B94E33">
        <w:rPr>
          <w:lang w:val="fr-FR"/>
        </w:rPr>
        <w:t>’</w:t>
      </w:r>
      <w:r w:rsidRPr="00B94E33">
        <w:rPr>
          <w:lang w:val="fr-FR"/>
        </w:rPr>
        <w:t>appartement où résidait la requérante afin d</w:t>
      </w:r>
      <w:r w:rsidR="00B94E33" w:rsidRPr="00B94E33">
        <w:rPr>
          <w:lang w:val="fr-FR"/>
        </w:rPr>
        <w:t>’</w:t>
      </w:r>
      <w:r w:rsidR="001B4137" w:rsidRPr="00B94E33">
        <w:rPr>
          <w:lang w:val="fr-FR"/>
        </w:rPr>
        <w:t>y</w:t>
      </w:r>
      <w:r w:rsidRPr="00B94E33">
        <w:rPr>
          <w:lang w:val="fr-FR"/>
        </w:rPr>
        <w:t xml:space="preserve"> </w:t>
      </w:r>
      <w:r w:rsidR="001B4137" w:rsidRPr="00B94E33">
        <w:rPr>
          <w:lang w:val="fr-FR"/>
        </w:rPr>
        <w:t xml:space="preserve">récupérer </w:t>
      </w:r>
      <w:r w:rsidRPr="00B94E33">
        <w:rPr>
          <w:lang w:val="fr-FR"/>
        </w:rPr>
        <w:t xml:space="preserve">ses </w:t>
      </w:r>
      <w:r w:rsidR="001B4137" w:rsidRPr="00B94E33">
        <w:rPr>
          <w:lang w:val="fr-FR"/>
        </w:rPr>
        <w:t xml:space="preserve">vêtements </w:t>
      </w:r>
      <w:r w:rsidRPr="00B94E33">
        <w:rPr>
          <w:lang w:val="fr-FR"/>
        </w:rPr>
        <w:t>et objets personnels.</w:t>
      </w:r>
    </w:p>
    <w:p w:rsidR="00E943A9" w:rsidRPr="00B94E33" w:rsidRDefault="00E943A9"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20</w:t>
      </w:r>
      <w:r w:rsidRPr="00B94E33">
        <w:rPr>
          <w:lang w:val="fr-FR"/>
        </w:rPr>
        <w:fldChar w:fldCharType="end"/>
      </w:r>
      <w:r w:rsidRPr="00B94E33">
        <w:rPr>
          <w:lang w:val="fr-FR"/>
        </w:rPr>
        <w:t>.  </w:t>
      </w:r>
      <w:r w:rsidR="001B4137" w:rsidRPr="00B94E33">
        <w:rPr>
          <w:lang w:val="fr-FR"/>
        </w:rPr>
        <w:t>À</w:t>
      </w:r>
      <w:r w:rsidRPr="00B94E33">
        <w:rPr>
          <w:lang w:val="fr-FR"/>
        </w:rPr>
        <w:t xml:space="preserve"> partir du 20 août, A.T. harcel</w:t>
      </w:r>
      <w:r w:rsidR="005E3020" w:rsidRPr="00B94E33">
        <w:rPr>
          <w:lang w:val="fr-FR"/>
        </w:rPr>
        <w:t>a</w:t>
      </w:r>
      <w:r w:rsidRPr="00B94E33">
        <w:rPr>
          <w:lang w:val="fr-FR"/>
        </w:rPr>
        <w:t xml:space="preserve"> la requérante en l</w:t>
      </w:r>
      <w:r w:rsidR="00B94E33" w:rsidRPr="00B94E33">
        <w:rPr>
          <w:lang w:val="fr-FR"/>
        </w:rPr>
        <w:t>’</w:t>
      </w:r>
      <w:r w:rsidRPr="00B94E33">
        <w:rPr>
          <w:lang w:val="fr-FR"/>
        </w:rPr>
        <w:t>appelant et en lui envoyant plusieurs messages insultants.</w:t>
      </w:r>
    </w:p>
    <w:bookmarkStart w:id="5" w:name="para24"/>
    <w:bookmarkStart w:id="6" w:name="para23"/>
    <w:p w:rsidR="009149F5" w:rsidRPr="00B94E33" w:rsidRDefault="00E943A9"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21</w:t>
      </w:r>
      <w:r w:rsidRPr="00B94E33">
        <w:rPr>
          <w:lang w:val="fr-FR"/>
        </w:rPr>
        <w:fldChar w:fldCharType="end"/>
      </w:r>
      <w:bookmarkEnd w:id="5"/>
      <w:bookmarkEnd w:id="6"/>
      <w:r w:rsidRPr="00B94E33">
        <w:rPr>
          <w:lang w:val="fr-FR"/>
        </w:rPr>
        <w:t>.  Le 5 septembre 2012, la requérante déposa plainte à l</w:t>
      </w:r>
      <w:r w:rsidR="00B94E33" w:rsidRPr="00B94E33">
        <w:rPr>
          <w:lang w:val="fr-FR"/>
        </w:rPr>
        <w:t>’</w:t>
      </w:r>
      <w:r w:rsidRPr="00B94E33">
        <w:rPr>
          <w:lang w:val="fr-FR"/>
        </w:rPr>
        <w:t xml:space="preserve">encontre de son mari pour </w:t>
      </w:r>
      <w:r w:rsidR="007D5CEE" w:rsidRPr="00B94E33">
        <w:rPr>
          <w:lang w:val="fr-FR"/>
        </w:rPr>
        <w:t>lésions corporelles</w:t>
      </w:r>
      <w:r w:rsidRPr="00B94E33">
        <w:rPr>
          <w:lang w:val="fr-FR"/>
        </w:rPr>
        <w:t>, maltraitance et menace</w:t>
      </w:r>
      <w:r w:rsidR="001B4137" w:rsidRPr="00B94E33">
        <w:rPr>
          <w:lang w:val="fr-FR"/>
        </w:rPr>
        <w:t>s</w:t>
      </w:r>
      <w:r w:rsidRPr="00B94E33">
        <w:rPr>
          <w:lang w:val="fr-FR"/>
        </w:rPr>
        <w:t>. Elle demanda aux autorités de prendre des mesures urgentes afin de l</w:t>
      </w:r>
      <w:r w:rsidR="00BC2AD8" w:rsidRPr="00B94E33">
        <w:rPr>
          <w:lang w:val="fr-FR"/>
        </w:rPr>
        <w:t>es</w:t>
      </w:r>
      <w:r w:rsidRPr="00B94E33">
        <w:rPr>
          <w:lang w:val="fr-FR"/>
        </w:rPr>
        <w:t xml:space="preserve"> protéger</w:t>
      </w:r>
      <w:r w:rsidR="001B4137" w:rsidRPr="00B94E33">
        <w:rPr>
          <w:lang w:val="fr-FR"/>
        </w:rPr>
        <w:t>,</w:t>
      </w:r>
      <w:r w:rsidRPr="00B94E33">
        <w:rPr>
          <w:lang w:val="fr-FR"/>
        </w:rPr>
        <w:t xml:space="preserve"> </w:t>
      </w:r>
      <w:r w:rsidR="00BC2AD8" w:rsidRPr="00B94E33">
        <w:rPr>
          <w:lang w:val="fr-FR"/>
        </w:rPr>
        <w:t>elle et</w:t>
      </w:r>
      <w:r w:rsidRPr="00B94E33">
        <w:rPr>
          <w:lang w:val="fr-FR"/>
        </w:rPr>
        <w:t xml:space="preserve"> </w:t>
      </w:r>
      <w:r w:rsidRPr="00B94E33">
        <w:rPr>
          <w:lang w:val="fr-FR"/>
        </w:rPr>
        <w:lastRenderedPageBreak/>
        <w:t>ses enfants</w:t>
      </w:r>
      <w:r w:rsidR="001B4137" w:rsidRPr="00B94E33">
        <w:rPr>
          <w:lang w:val="fr-FR"/>
        </w:rPr>
        <w:t>,</w:t>
      </w:r>
      <w:r w:rsidRPr="00B94E33">
        <w:rPr>
          <w:lang w:val="fr-FR"/>
        </w:rPr>
        <w:t xml:space="preserve"> et d</w:t>
      </w:r>
      <w:r w:rsidR="00B94E33" w:rsidRPr="00B94E33">
        <w:rPr>
          <w:lang w:val="fr-FR"/>
        </w:rPr>
        <w:t>’</w:t>
      </w:r>
      <w:r w:rsidRPr="00B94E33">
        <w:rPr>
          <w:lang w:val="fr-FR"/>
        </w:rPr>
        <w:t xml:space="preserve">empêcher A.T. </w:t>
      </w:r>
      <w:r w:rsidR="00BC2AD8" w:rsidRPr="00B94E33">
        <w:rPr>
          <w:lang w:val="fr-FR"/>
        </w:rPr>
        <w:t xml:space="preserve">de </w:t>
      </w:r>
      <w:r w:rsidRPr="00B94E33">
        <w:rPr>
          <w:lang w:val="fr-FR"/>
        </w:rPr>
        <w:t>s</w:t>
      </w:r>
      <w:r w:rsidR="00B94E33" w:rsidRPr="00B94E33">
        <w:rPr>
          <w:lang w:val="fr-FR"/>
        </w:rPr>
        <w:t>’</w:t>
      </w:r>
      <w:r w:rsidRPr="00B94E33">
        <w:rPr>
          <w:lang w:val="fr-FR"/>
        </w:rPr>
        <w:t>approcher d</w:t>
      </w:r>
      <w:r w:rsidR="00B94E33" w:rsidRPr="00B94E33">
        <w:rPr>
          <w:lang w:val="fr-FR"/>
        </w:rPr>
        <w:t>’</w:t>
      </w:r>
      <w:r w:rsidRPr="00B94E33">
        <w:rPr>
          <w:lang w:val="fr-FR"/>
        </w:rPr>
        <w:t xml:space="preserve">eux. </w:t>
      </w:r>
      <w:r w:rsidR="00971497" w:rsidRPr="00B94E33">
        <w:rPr>
          <w:lang w:val="fr-FR"/>
        </w:rPr>
        <w:t xml:space="preserve">Elle </w:t>
      </w:r>
      <w:r w:rsidR="00A276DE" w:rsidRPr="00B94E33">
        <w:rPr>
          <w:lang w:val="fr-FR"/>
        </w:rPr>
        <w:t xml:space="preserve">indiqua </w:t>
      </w:r>
      <w:r w:rsidR="00971497" w:rsidRPr="00B94E33">
        <w:rPr>
          <w:lang w:val="fr-FR"/>
        </w:rPr>
        <w:t>qu</w:t>
      </w:r>
      <w:r w:rsidR="00B94E33" w:rsidRPr="00B94E33">
        <w:rPr>
          <w:lang w:val="fr-FR"/>
        </w:rPr>
        <w:t>’</w:t>
      </w:r>
      <w:r w:rsidR="00971497" w:rsidRPr="00B94E33">
        <w:rPr>
          <w:lang w:val="fr-FR"/>
        </w:rPr>
        <w:t>elle s</w:t>
      </w:r>
      <w:r w:rsidR="00B94E33" w:rsidRPr="00B94E33">
        <w:rPr>
          <w:lang w:val="fr-FR"/>
        </w:rPr>
        <w:t>’</w:t>
      </w:r>
      <w:r w:rsidR="00971497" w:rsidRPr="00B94E33">
        <w:rPr>
          <w:lang w:val="fr-FR"/>
        </w:rPr>
        <w:t>était r</w:t>
      </w:r>
      <w:r w:rsidR="001B4137" w:rsidRPr="00B94E33">
        <w:rPr>
          <w:lang w:val="fr-FR"/>
        </w:rPr>
        <w:t>é</w:t>
      </w:r>
      <w:r w:rsidR="00971497" w:rsidRPr="00B94E33">
        <w:rPr>
          <w:lang w:val="fr-FR"/>
        </w:rPr>
        <w:t>fugi</w:t>
      </w:r>
      <w:r w:rsidR="001B4137" w:rsidRPr="00B94E33">
        <w:rPr>
          <w:lang w:val="fr-FR"/>
        </w:rPr>
        <w:t>ée</w:t>
      </w:r>
      <w:r w:rsidR="00971497" w:rsidRPr="00B94E33">
        <w:rPr>
          <w:lang w:val="fr-FR"/>
        </w:rPr>
        <w:t xml:space="preserve"> dans un centre </w:t>
      </w:r>
      <w:r w:rsidR="001B4137" w:rsidRPr="00B94E33">
        <w:rPr>
          <w:lang w:val="fr-FR"/>
        </w:rPr>
        <w:t>d</w:t>
      </w:r>
      <w:r w:rsidR="00B94E33" w:rsidRPr="00B94E33">
        <w:rPr>
          <w:lang w:val="fr-FR"/>
        </w:rPr>
        <w:t>’</w:t>
      </w:r>
      <w:r w:rsidR="001B4137" w:rsidRPr="00B94E33">
        <w:rPr>
          <w:lang w:val="fr-FR"/>
        </w:rPr>
        <w:t xml:space="preserve">hébergement </w:t>
      </w:r>
      <w:r w:rsidR="00971497" w:rsidRPr="00B94E33">
        <w:rPr>
          <w:lang w:val="fr-FR"/>
        </w:rPr>
        <w:t xml:space="preserve">et que A.T. la harcelait </w:t>
      </w:r>
      <w:r w:rsidR="00BC2AD8" w:rsidRPr="00B94E33">
        <w:rPr>
          <w:lang w:val="fr-FR"/>
        </w:rPr>
        <w:t xml:space="preserve">par </w:t>
      </w:r>
      <w:r w:rsidR="00971497" w:rsidRPr="00B94E33">
        <w:rPr>
          <w:lang w:val="fr-FR"/>
        </w:rPr>
        <w:t>téléphon</w:t>
      </w:r>
      <w:r w:rsidR="001B4137" w:rsidRPr="00B94E33">
        <w:rPr>
          <w:lang w:val="fr-FR"/>
        </w:rPr>
        <w:t>e</w:t>
      </w:r>
      <w:r w:rsidR="00971497" w:rsidRPr="00B94E33">
        <w:rPr>
          <w:lang w:val="fr-FR"/>
        </w:rPr>
        <w:t>.</w:t>
      </w:r>
    </w:p>
    <w:bookmarkStart w:id="7" w:name="para25"/>
    <w:p w:rsidR="00715896" w:rsidRPr="00B94E33" w:rsidRDefault="009149F5"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22</w:t>
      </w:r>
      <w:r w:rsidRPr="00B94E33">
        <w:rPr>
          <w:lang w:val="fr-FR"/>
        </w:rPr>
        <w:fldChar w:fldCharType="end"/>
      </w:r>
      <w:bookmarkEnd w:id="7"/>
      <w:r w:rsidRPr="00B94E33">
        <w:rPr>
          <w:lang w:val="fr-FR"/>
        </w:rPr>
        <w:t>.  </w:t>
      </w:r>
      <w:r w:rsidR="00E943A9" w:rsidRPr="00B94E33">
        <w:rPr>
          <w:lang w:val="fr-FR"/>
        </w:rPr>
        <w:t>Une information judiciaire fut ouverte à l</w:t>
      </w:r>
      <w:r w:rsidR="00B94E33" w:rsidRPr="00B94E33">
        <w:rPr>
          <w:lang w:val="fr-FR"/>
        </w:rPr>
        <w:t>’</w:t>
      </w:r>
      <w:r w:rsidR="00E943A9" w:rsidRPr="00B94E33">
        <w:rPr>
          <w:lang w:val="fr-FR"/>
        </w:rPr>
        <w:t xml:space="preserve">encontre de A.T. pour délits de maltraitance </w:t>
      </w:r>
      <w:r w:rsidR="00D23996" w:rsidRPr="00B94E33">
        <w:rPr>
          <w:lang w:val="fr-FR"/>
        </w:rPr>
        <w:t>familiale</w:t>
      </w:r>
      <w:r w:rsidR="00715896" w:rsidRPr="00B94E33">
        <w:rPr>
          <w:lang w:val="fr-FR"/>
        </w:rPr>
        <w:t xml:space="preserve">, </w:t>
      </w:r>
      <w:r w:rsidR="001173C2" w:rsidRPr="00B94E33">
        <w:rPr>
          <w:lang w:val="fr-FR"/>
        </w:rPr>
        <w:t>lésions corporelles</w:t>
      </w:r>
      <w:r w:rsidR="001B4137" w:rsidRPr="00B94E33">
        <w:rPr>
          <w:lang w:val="fr-FR"/>
        </w:rPr>
        <w:t xml:space="preserve"> </w:t>
      </w:r>
      <w:r w:rsidR="00715896" w:rsidRPr="00B94E33">
        <w:rPr>
          <w:lang w:val="fr-FR"/>
        </w:rPr>
        <w:t>aggravées et menace</w:t>
      </w:r>
      <w:r w:rsidR="001B4137" w:rsidRPr="00B94E33">
        <w:rPr>
          <w:lang w:val="fr-FR"/>
        </w:rPr>
        <w:t>s</w:t>
      </w:r>
      <w:r w:rsidR="00715896" w:rsidRPr="00B94E33">
        <w:rPr>
          <w:lang w:val="fr-FR"/>
        </w:rPr>
        <w:t>.</w:t>
      </w:r>
      <w:r w:rsidR="00E943A9" w:rsidRPr="00B94E33">
        <w:rPr>
          <w:lang w:val="fr-FR"/>
        </w:rPr>
        <w:t xml:space="preserve"> La police transmit la plainte au </w:t>
      </w:r>
      <w:r w:rsidR="00715896" w:rsidRPr="00B94E33">
        <w:rPr>
          <w:lang w:val="fr-FR"/>
        </w:rPr>
        <w:t>parquet</w:t>
      </w:r>
      <w:r w:rsidR="00E943A9" w:rsidRPr="00B94E33">
        <w:rPr>
          <w:lang w:val="fr-FR"/>
        </w:rPr>
        <w:t xml:space="preserve"> le 9 octobre 2012.</w:t>
      </w:r>
    </w:p>
    <w:p w:rsidR="00E943A9" w:rsidRPr="00B94E33" w:rsidRDefault="00715896"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23</w:t>
      </w:r>
      <w:r w:rsidRPr="00B94E33">
        <w:rPr>
          <w:lang w:val="fr-FR"/>
        </w:rPr>
        <w:fldChar w:fldCharType="end"/>
      </w:r>
      <w:r w:rsidRPr="00B94E33">
        <w:rPr>
          <w:lang w:val="fr-FR"/>
        </w:rPr>
        <w:t>.  </w:t>
      </w:r>
      <w:r w:rsidR="00E943A9" w:rsidRPr="00B94E33">
        <w:rPr>
          <w:lang w:val="fr-FR"/>
        </w:rPr>
        <w:t xml:space="preserve">Le 15 octobre 2012, le parquet, </w:t>
      </w:r>
      <w:r w:rsidR="001B4137" w:rsidRPr="00B94E33">
        <w:rPr>
          <w:lang w:val="fr-FR"/>
        </w:rPr>
        <w:t xml:space="preserve">eu égard à </w:t>
      </w:r>
      <w:r w:rsidR="00E943A9" w:rsidRPr="00B94E33">
        <w:rPr>
          <w:lang w:val="fr-FR"/>
        </w:rPr>
        <w:t xml:space="preserve">la demande </w:t>
      </w:r>
      <w:r w:rsidR="001B4137" w:rsidRPr="00B94E33">
        <w:rPr>
          <w:lang w:val="fr-FR"/>
        </w:rPr>
        <w:t>de</w:t>
      </w:r>
      <w:r w:rsidR="00E943A9" w:rsidRPr="00B94E33">
        <w:rPr>
          <w:lang w:val="fr-FR"/>
        </w:rPr>
        <w:t xml:space="preserve"> mesures de protection </w:t>
      </w:r>
      <w:r w:rsidR="001B4137" w:rsidRPr="00B94E33">
        <w:rPr>
          <w:lang w:val="fr-FR"/>
        </w:rPr>
        <w:t xml:space="preserve">formulée </w:t>
      </w:r>
      <w:r w:rsidR="00E943A9" w:rsidRPr="00B94E33">
        <w:rPr>
          <w:lang w:val="fr-FR"/>
        </w:rPr>
        <w:t xml:space="preserve">par la requérante, </w:t>
      </w:r>
      <w:r w:rsidR="001B4137" w:rsidRPr="00B94E33">
        <w:rPr>
          <w:lang w:val="fr-FR"/>
        </w:rPr>
        <w:t xml:space="preserve">ordonna </w:t>
      </w:r>
      <w:r w:rsidR="00627845" w:rsidRPr="00B94E33">
        <w:rPr>
          <w:lang w:val="fr-FR"/>
        </w:rPr>
        <w:t>que des mesures d</w:t>
      </w:r>
      <w:r w:rsidR="00B94E33" w:rsidRPr="00B94E33">
        <w:rPr>
          <w:lang w:val="fr-FR"/>
        </w:rPr>
        <w:t>’</w:t>
      </w:r>
      <w:r w:rsidR="00627845" w:rsidRPr="00B94E33">
        <w:rPr>
          <w:lang w:val="fr-FR"/>
        </w:rPr>
        <w:t xml:space="preserve">investigation fussent prises </w:t>
      </w:r>
      <w:r w:rsidR="00E943A9" w:rsidRPr="00B94E33">
        <w:rPr>
          <w:lang w:val="fr-FR"/>
        </w:rPr>
        <w:t xml:space="preserve">de manière urgente. </w:t>
      </w:r>
      <w:r w:rsidR="001B4137" w:rsidRPr="00B94E33">
        <w:rPr>
          <w:lang w:val="fr-FR"/>
        </w:rPr>
        <w:t>Il demanda en particulier</w:t>
      </w:r>
      <w:r w:rsidR="00E943A9" w:rsidRPr="00B94E33">
        <w:rPr>
          <w:lang w:val="fr-FR"/>
        </w:rPr>
        <w:t xml:space="preserve"> </w:t>
      </w:r>
      <w:r w:rsidRPr="00B94E33">
        <w:rPr>
          <w:lang w:val="fr-FR"/>
        </w:rPr>
        <w:t>à</w:t>
      </w:r>
      <w:r w:rsidR="00E943A9" w:rsidRPr="00B94E33">
        <w:rPr>
          <w:lang w:val="fr-FR"/>
        </w:rPr>
        <w:t xml:space="preserve"> la police de </w:t>
      </w:r>
      <w:r w:rsidR="001B4137" w:rsidRPr="00B94E33">
        <w:rPr>
          <w:lang w:val="fr-FR"/>
        </w:rPr>
        <w:t>rechercher d</w:t>
      </w:r>
      <w:r w:rsidR="00B94E33" w:rsidRPr="00B94E33">
        <w:rPr>
          <w:lang w:val="fr-FR"/>
        </w:rPr>
        <w:t>’</w:t>
      </w:r>
      <w:r w:rsidR="001B4137" w:rsidRPr="00B94E33">
        <w:rPr>
          <w:lang w:val="fr-FR"/>
        </w:rPr>
        <w:t xml:space="preserve">éventuels témoins, </w:t>
      </w:r>
      <w:r w:rsidR="00E943A9" w:rsidRPr="00B94E33">
        <w:rPr>
          <w:lang w:val="fr-FR"/>
        </w:rPr>
        <w:t>y compris la fille de la requérante.</w:t>
      </w:r>
    </w:p>
    <w:p w:rsidR="00EF4E78" w:rsidRPr="00B94E33" w:rsidRDefault="00E943A9"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24</w:t>
      </w:r>
      <w:r w:rsidRPr="00B94E33">
        <w:rPr>
          <w:lang w:val="fr-FR"/>
        </w:rPr>
        <w:fldChar w:fldCharType="end"/>
      </w:r>
      <w:r w:rsidRPr="00B94E33">
        <w:rPr>
          <w:lang w:val="fr-FR"/>
        </w:rPr>
        <w:t>.  La requérante fut hébergée pendant trois mois par l</w:t>
      </w:r>
      <w:r w:rsidR="00B94E33" w:rsidRPr="00B94E33">
        <w:rPr>
          <w:lang w:val="fr-FR"/>
        </w:rPr>
        <w:t>’</w:t>
      </w:r>
      <w:r w:rsidRPr="00B94E33">
        <w:rPr>
          <w:lang w:val="fr-FR"/>
        </w:rPr>
        <w:t>association</w:t>
      </w:r>
      <w:r w:rsidR="00BC2AD8" w:rsidRPr="00B94E33">
        <w:rPr>
          <w:lang w:val="fr-FR"/>
        </w:rPr>
        <w:t>.</w:t>
      </w:r>
    </w:p>
    <w:p w:rsidR="00E943A9" w:rsidRPr="00B94E33" w:rsidRDefault="00E943A9"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25</w:t>
      </w:r>
      <w:r w:rsidRPr="00B94E33">
        <w:rPr>
          <w:lang w:val="fr-FR"/>
        </w:rPr>
        <w:fldChar w:fldCharType="end"/>
      </w:r>
      <w:r w:rsidRPr="00B94E33">
        <w:rPr>
          <w:lang w:val="fr-FR"/>
        </w:rPr>
        <w:t xml:space="preserve">.  Par une lettre du 27 août 2012, le responsable des services sociaux de Udine </w:t>
      </w:r>
      <w:r w:rsidR="006F5910" w:rsidRPr="00B94E33">
        <w:rPr>
          <w:lang w:val="fr-FR"/>
        </w:rPr>
        <w:t>informa</w:t>
      </w:r>
      <w:r w:rsidRPr="00B94E33">
        <w:rPr>
          <w:lang w:val="fr-FR"/>
        </w:rPr>
        <w:t xml:space="preserve"> l</w:t>
      </w:r>
      <w:r w:rsidR="00B94E33" w:rsidRPr="00B94E33">
        <w:rPr>
          <w:lang w:val="fr-FR"/>
        </w:rPr>
        <w:t>’</w:t>
      </w:r>
      <w:r w:rsidRPr="00B94E33">
        <w:rPr>
          <w:lang w:val="fr-FR"/>
        </w:rPr>
        <w:t>associatio</w:t>
      </w:r>
      <w:r w:rsidR="00BC2AD8" w:rsidRPr="00B94E33">
        <w:rPr>
          <w:lang w:val="fr-FR"/>
        </w:rPr>
        <w:t>n</w:t>
      </w:r>
      <w:r w:rsidRPr="00B94E33">
        <w:rPr>
          <w:lang w:val="fr-FR"/>
        </w:rPr>
        <w:t xml:space="preserve"> qu</w:t>
      </w:r>
      <w:r w:rsidR="00B94E33" w:rsidRPr="00B94E33">
        <w:rPr>
          <w:lang w:val="fr-FR"/>
        </w:rPr>
        <w:t>’</w:t>
      </w:r>
      <w:r w:rsidRPr="00B94E33">
        <w:rPr>
          <w:lang w:val="fr-FR"/>
        </w:rPr>
        <w:t>il n</w:t>
      </w:r>
      <w:r w:rsidR="00B94E33" w:rsidRPr="00B94E33">
        <w:rPr>
          <w:lang w:val="fr-FR"/>
        </w:rPr>
        <w:t>’</w:t>
      </w:r>
      <w:r w:rsidRPr="00B94E33">
        <w:rPr>
          <w:lang w:val="fr-FR"/>
        </w:rPr>
        <w:t xml:space="preserve">y avait pas de fonds disponibles pour prendre en charge la requérante et pour lui </w:t>
      </w:r>
      <w:r w:rsidR="00627845" w:rsidRPr="00B94E33">
        <w:rPr>
          <w:lang w:val="fr-FR"/>
        </w:rPr>
        <w:t xml:space="preserve">fournir </w:t>
      </w:r>
      <w:r w:rsidRPr="00B94E33">
        <w:rPr>
          <w:lang w:val="fr-FR"/>
        </w:rPr>
        <w:t>une autre solution d</w:t>
      </w:r>
      <w:r w:rsidR="00B94E33" w:rsidRPr="00B94E33">
        <w:rPr>
          <w:lang w:val="fr-FR"/>
        </w:rPr>
        <w:t>’</w:t>
      </w:r>
      <w:r w:rsidRPr="00B94E33">
        <w:rPr>
          <w:lang w:val="fr-FR"/>
        </w:rPr>
        <w:t>hébergement.</w:t>
      </w:r>
    </w:p>
    <w:p w:rsidR="00E943A9" w:rsidRPr="00B94E33" w:rsidRDefault="00E943A9"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26</w:t>
      </w:r>
      <w:r w:rsidRPr="00B94E33">
        <w:rPr>
          <w:lang w:val="fr-FR"/>
        </w:rPr>
        <w:fldChar w:fldCharType="end"/>
      </w:r>
      <w:r w:rsidRPr="00B94E33">
        <w:rPr>
          <w:lang w:val="fr-FR"/>
        </w:rPr>
        <w:t xml:space="preserve">.  Le Gouvernement </w:t>
      </w:r>
      <w:r w:rsidR="00715896" w:rsidRPr="00B94E33">
        <w:rPr>
          <w:lang w:val="fr-FR"/>
        </w:rPr>
        <w:t>donne une lecture différente de cette lettre</w:t>
      </w:r>
      <w:r w:rsidRPr="00B94E33">
        <w:rPr>
          <w:lang w:val="fr-FR"/>
        </w:rPr>
        <w:t xml:space="preserve"> : </w:t>
      </w:r>
      <w:r w:rsidR="006F5910" w:rsidRPr="00B94E33">
        <w:rPr>
          <w:lang w:val="fr-FR"/>
        </w:rPr>
        <w:t xml:space="preserve">il indique que, </w:t>
      </w:r>
      <w:r w:rsidRPr="00B94E33">
        <w:rPr>
          <w:lang w:val="fr-FR"/>
        </w:rPr>
        <w:t>étant donné que la requérante n</w:t>
      </w:r>
      <w:r w:rsidR="00B94E33" w:rsidRPr="00B94E33">
        <w:rPr>
          <w:lang w:val="fr-FR"/>
        </w:rPr>
        <w:t>’</w:t>
      </w:r>
      <w:r w:rsidRPr="00B94E33">
        <w:rPr>
          <w:lang w:val="fr-FR"/>
        </w:rPr>
        <w:t xml:space="preserve">avait pas été </w:t>
      </w:r>
      <w:r w:rsidR="005E3020" w:rsidRPr="00B94E33">
        <w:rPr>
          <w:lang w:val="fr-FR"/>
        </w:rPr>
        <w:t>d</w:t>
      </w:r>
      <w:r w:rsidR="00B94E33" w:rsidRPr="00B94E33">
        <w:rPr>
          <w:lang w:val="fr-FR"/>
        </w:rPr>
        <w:t>’</w:t>
      </w:r>
      <w:r w:rsidR="005E3020" w:rsidRPr="00B94E33">
        <w:rPr>
          <w:lang w:val="fr-FR"/>
        </w:rPr>
        <w:t xml:space="preserve">abord </w:t>
      </w:r>
      <w:r w:rsidRPr="00B94E33">
        <w:rPr>
          <w:lang w:val="fr-FR"/>
        </w:rPr>
        <w:t xml:space="preserve">prise en charge par les services sociaux de la </w:t>
      </w:r>
      <w:r w:rsidR="006F5910" w:rsidRPr="00B94E33">
        <w:rPr>
          <w:lang w:val="fr-FR"/>
        </w:rPr>
        <w:t>m</w:t>
      </w:r>
      <w:r w:rsidRPr="00B94E33">
        <w:rPr>
          <w:lang w:val="fr-FR"/>
        </w:rPr>
        <w:t>airie de Udine, qui s</w:t>
      </w:r>
      <w:r w:rsidR="00B94E33" w:rsidRPr="00B94E33">
        <w:rPr>
          <w:lang w:val="fr-FR"/>
        </w:rPr>
        <w:t>’</w:t>
      </w:r>
      <w:r w:rsidRPr="00B94E33">
        <w:rPr>
          <w:lang w:val="fr-FR"/>
        </w:rPr>
        <w:t xml:space="preserve">occupait </w:t>
      </w:r>
      <w:r w:rsidR="006F5910" w:rsidRPr="00B94E33">
        <w:rPr>
          <w:lang w:val="fr-FR"/>
        </w:rPr>
        <w:t xml:space="preserve">des </w:t>
      </w:r>
      <w:r w:rsidRPr="00B94E33">
        <w:rPr>
          <w:lang w:val="fr-FR"/>
        </w:rPr>
        <w:t>victimes de violence</w:t>
      </w:r>
      <w:r w:rsidR="000310CA" w:rsidRPr="00B94E33">
        <w:rPr>
          <w:lang w:val="fr-FR"/>
        </w:rPr>
        <w:t>s</w:t>
      </w:r>
      <w:r w:rsidRPr="00B94E33">
        <w:rPr>
          <w:lang w:val="fr-FR"/>
        </w:rPr>
        <w:t xml:space="preserve"> dans le ca</w:t>
      </w:r>
      <w:r w:rsidR="00715896" w:rsidRPr="00B94E33">
        <w:rPr>
          <w:lang w:val="fr-FR"/>
        </w:rPr>
        <w:t>dre d</w:t>
      </w:r>
      <w:r w:rsidR="00B94E33" w:rsidRPr="00B94E33">
        <w:rPr>
          <w:lang w:val="fr-FR"/>
        </w:rPr>
        <w:t>’</w:t>
      </w:r>
      <w:r w:rsidR="00715896" w:rsidRPr="00B94E33">
        <w:rPr>
          <w:lang w:val="fr-FR"/>
        </w:rPr>
        <w:t>un autre projet</w:t>
      </w:r>
      <w:r w:rsidR="006F5910" w:rsidRPr="00B94E33">
        <w:rPr>
          <w:lang w:val="fr-FR"/>
        </w:rPr>
        <w:t>,</w:t>
      </w:r>
      <w:r w:rsidR="00715896" w:rsidRPr="00B94E33">
        <w:rPr>
          <w:lang w:val="fr-FR"/>
        </w:rPr>
        <w:t xml:space="preserve"> appelé « Z</w:t>
      </w:r>
      <w:r w:rsidRPr="00B94E33">
        <w:rPr>
          <w:lang w:val="fr-FR"/>
        </w:rPr>
        <w:t xml:space="preserve">ero tolerance », </w:t>
      </w:r>
      <w:r w:rsidR="006F5910" w:rsidRPr="00B94E33">
        <w:rPr>
          <w:lang w:val="fr-FR"/>
        </w:rPr>
        <w:t xml:space="preserve">ces derniers </w:t>
      </w:r>
      <w:r w:rsidRPr="00B94E33">
        <w:rPr>
          <w:lang w:val="fr-FR"/>
        </w:rPr>
        <w:t>ne pouvai</w:t>
      </w:r>
      <w:r w:rsidR="006F5910" w:rsidRPr="00B94E33">
        <w:rPr>
          <w:lang w:val="fr-FR"/>
        </w:rPr>
        <w:t>en</w:t>
      </w:r>
      <w:r w:rsidRPr="00B94E33">
        <w:rPr>
          <w:lang w:val="fr-FR"/>
        </w:rPr>
        <w:t xml:space="preserve">t pas </w:t>
      </w:r>
      <w:r w:rsidR="00A066BF" w:rsidRPr="00B94E33">
        <w:rPr>
          <w:lang w:val="fr-FR"/>
        </w:rPr>
        <w:t>assumer les</w:t>
      </w:r>
      <w:r w:rsidR="006F5910" w:rsidRPr="00B94E33">
        <w:rPr>
          <w:lang w:val="fr-FR"/>
        </w:rPr>
        <w:t xml:space="preserve"> frais de</w:t>
      </w:r>
      <w:r w:rsidRPr="00B94E33">
        <w:rPr>
          <w:lang w:val="fr-FR"/>
        </w:rPr>
        <w:t xml:space="preserve"> l</w:t>
      </w:r>
      <w:r w:rsidR="00B94E33" w:rsidRPr="00B94E33">
        <w:rPr>
          <w:lang w:val="fr-FR"/>
        </w:rPr>
        <w:t>’</w:t>
      </w:r>
      <w:r w:rsidRPr="00B94E33">
        <w:rPr>
          <w:lang w:val="fr-FR"/>
        </w:rPr>
        <w:t>association</w:t>
      </w:r>
      <w:r w:rsidR="00450BF4" w:rsidRPr="00B94E33">
        <w:rPr>
          <w:lang w:val="fr-FR"/>
        </w:rPr>
        <w:t xml:space="preserve">. </w:t>
      </w:r>
      <w:r w:rsidR="00A066BF" w:rsidRPr="00B94E33">
        <w:rPr>
          <w:lang w:val="fr-FR"/>
        </w:rPr>
        <w:t>Selon lui, l</w:t>
      </w:r>
      <w:r w:rsidR="00450BF4" w:rsidRPr="00B94E33">
        <w:rPr>
          <w:lang w:val="fr-FR"/>
        </w:rPr>
        <w:t>es femmes victimes de</w:t>
      </w:r>
      <w:r w:rsidRPr="00B94E33">
        <w:rPr>
          <w:lang w:val="fr-FR"/>
        </w:rPr>
        <w:t xml:space="preserve"> violence</w:t>
      </w:r>
      <w:r w:rsidR="000310CA" w:rsidRPr="00B94E33">
        <w:rPr>
          <w:lang w:val="fr-FR"/>
        </w:rPr>
        <w:t>s</w:t>
      </w:r>
      <w:r w:rsidRPr="00B94E33">
        <w:rPr>
          <w:lang w:val="fr-FR"/>
        </w:rPr>
        <w:t xml:space="preserve"> pouvaient </w:t>
      </w:r>
      <w:r w:rsidR="00112B5A" w:rsidRPr="00B94E33">
        <w:rPr>
          <w:lang w:val="fr-FR"/>
        </w:rPr>
        <w:t>prendre contact avec</w:t>
      </w:r>
      <w:r w:rsidRPr="00B94E33">
        <w:rPr>
          <w:lang w:val="fr-FR"/>
        </w:rPr>
        <w:t xml:space="preserve"> les services sociaux </w:t>
      </w:r>
      <w:r w:rsidR="005E3020" w:rsidRPr="00B94E33">
        <w:rPr>
          <w:lang w:val="fr-FR"/>
        </w:rPr>
        <w:t xml:space="preserve">pour </w:t>
      </w:r>
      <w:r w:rsidRPr="00B94E33">
        <w:rPr>
          <w:lang w:val="fr-FR"/>
        </w:rPr>
        <w:t>demander de l</w:t>
      </w:r>
      <w:r w:rsidR="00B94E33" w:rsidRPr="00B94E33">
        <w:rPr>
          <w:lang w:val="fr-FR"/>
        </w:rPr>
        <w:t>’</w:t>
      </w:r>
      <w:r w:rsidRPr="00B94E33">
        <w:rPr>
          <w:lang w:val="fr-FR"/>
        </w:rPr>
        <w:t xml:space="preserve">aide, ce </w:t>
      </w:r>
      <w:r w:rsidR="005E3020" w:rsidRPr="00B94E33">
        <w:rPr>
          <w:lang w:val="fr-FR"/>
        </w:rPr>
        <w:t xml:space="preserve">que </w:t>
      </w:r>
      <w:r w:rsidR="00112B5A" w:rsidRPr="00B94E33">
        <w:rPr>
          <w:lang w:val="fr-FR"/>
        </w:rPr>
        <w:t xml:space="preserve">la requérante </w:t>
      </w:r>
      <w:r w:rsidR="005E3020" w:rsidRPr="00B94E33">
        <w:rPr>
          <w:lang w:val="fr-FR"/>
        </w:rPr>
        <w:t>n</w:t>
      </w:r>
      <w:r w:rsidR="00B94E33" w:rsidRPr="00B94E33">
        <w:rPr>
          <w:lang w:val="fr-FR"/>
        </w:rPr>
        <w:t>’</w:t>
      </w:r>
      <w:r w:rsidR="005E3020" w:rsidRPr="00B94E33">
        <w:rPr>
          <w:lang w:val="fr-FR"/>
        </w:rPr>
        <w:t>a</w:t>
      </w:r>
      <w:r w:rsidR="00112B5A" w:rsidRPr="00B94E33">
        <w:rPr>
          <w:lang w:val="fr-FR"/>
        </w:rPr>
        <w:t>ur</w:t>
      </w:r>
      <w:r w:rsidR="005E3020" w:rsidRPr="00B94E33">
        <w:rPr>
          <w:lang w:val="fr-FR"/>
        </w:rPr>
        <w:t>ait pas fait</w:t>
      </w:r>
      <w:r w:rsidRPr="00B94E33">
        <w:rPr>
          <w:lang w:val="fr-FR"/>
        </w:rPr>
        <w:t>.</w:t>
      </w:r>
    </w:p>
    <w:p w:rsidR="00E943A9" w:rsidRPr="00B94E33" w:rsidRDefault="00E943A9"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27</w:t>
      </w:r>
      <w:r w:rsidRPr="00B94E33">
        <w:rPr>
          <w:lang w:val="fr-FR"/>
        </w:rPr>
        <w:fldChar w:fldCharType="end"/>
      </w:r>
      <w:r w:rsidRPr="00B94E33">
        <w:rPr>
          <w:lang w:val="fr-FR"/>
        </w:rPr>
        <w:t xml:space="preserve">.  Le 4 décembre 2012, la requérante quitta le centre </w:t>
      </w:r>
      <w:r w:rsidR="003C75EE" w:rsidRPr="00B94E33">
        <w:rPr>
          <w:lang w:val="fr-FR"/>
        </w:rPr>
        <w:t>d</w:t>
      </w:r>
      <w:r w:rsidR="00B94E33" w:rsidRPr="00B94E33">
        <w:rPr>
          <w:lang w:val="fr-FR"/>
        </w:rPr>
        <w:t>’</w:t>
      </w:r>
      <w:r w:rsidR="003C75EE" w:rsidRPr="00B94E33">
        <w:rPr>
          <w:lang w:val="fr-FR"/>
        </w:rPr>
        <w:t xml:space="preserve">hébergement </w:t>
      </w:r>
      <w:r w:rsidRPr="00B94E33">
        <w:rPr>
          <w:lang w:val="fr-FR"/>
        </w:rPr>
        <w:t xml:space="preserve">afin de </w:t>
      </w:r>
      <w:r w:rsidR="00BD36A5" w:rsidRPr="00B94E33">
        <w:rPr>
          <w:lang w:val="fr-FR"/>
        </w:rPr>
        <w:t xml:space="preserve">chercher </w:t>
      </w:r>
      <w:r w:rsidRPr="00B94E33">
        <w:rPr>
          <w:lang w:val="fr-FR"/>
        </w:rPr>
        <w:t>un travail.</w:t>
      </w:r>
    </w:p>
    <w:p w:rsidR="00E943A9" w:rsidRPr="00B94E33" w:rsidRDefault="00E943A9"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28</w:t>
      </w:r>
      <w:r w:rsidRPr="00B94E33">
        <w:rPr>
          <w:lang w:val="fr-FR"/>
        </w:rPr>
        <w:fldChar w:fldCharType="end"/>
      </w:r>
      <w:r w:rsidRPr="00B94E33">
        <w:rPr>
          <w:lang w:val="fr-FR"/>
        </w:rPr>
        <w:t>.  </w:t>
      </w:r>
      <w:r w:rsidR="00627845" w:rsidRPr="00B94E33">
        <w:rPr>
          <w:lang w:val="fr-FR"/>
        </w:rPr>
        <w:t>Elle</w:t>
      </w:r>
      <w:r w:rsidR="007A2412" w:rsidRPr="00B94E33">
        <w:rPr>
          <w:lang w:val="fr-FR"/>
        </w:rPr>
        <w:t xml:space="preserve"> dit avoir</w:t>
      </w:r>
      <w:r w:rsidR="003C75EE" w:rsidRPr="00B94E33">
        <w:rPr>
          <w:lang w:val="fr-FR"/>
        </w:rPr>
        <w:t xml:space="preserve"> dormi </w:t>
      </w:r>
      <w:r w:rsidRPr="00B94E33">
        <w:rPr>
          <w:lang w:val="fr-FR"/>
        </w:rPr>
        <w:t>dans la rue</w:t>
      </w:r>
      <w:r w:rsidR="003C75EE" w:rsidRPr="00B94E33">
        <w:rPr>
          <w:lang w:val="fr-FR"/>
        </w:rPr>
        <w:t xml:space="preserve"> </w:t>
      </w:r>
      <w:r w:rsidR="007A2412" w:rsidRPr="00B94E33">
        <w:rPr>
          <w:lang w:val="fr-FR"/>
        </w:rPr>
        <w:t>dans un premier temps,</w:t>
      </w:r>
      <w:r w:rsidR="007A2412" w:rsidRPr="00B94E33" w:rsidDel="003C75EE">
        <w:rPr>
          <w:lang w:val="fr-FR"/>
        </w:rPr>
        <w:t xml:space="preserve"> </w:t>
      </w:r>
      <w:r w:rsidR="003C75EE" w:rsidRPr="00B94E33">
        <w:rPr>
          <w:lang w:val="fr-FR"/>
        </w:rPr>
        <w:t xml:space="preserve">avant </w:t>
      </w:r>
      <w:r w:rsidR="00BD36A5" w:rsidRPr="00B94E33">
        <w:rPr>
          <w:lang w:val="fr-FR"/>
        </w:rPr>
        <w:t>d</w:t>
      </w:r>
      <w:r w:rsidR="00B94E33" w:rsidRPr="00B94E33">
        <w:rPr>
          <w:lang w:val="fr-FR"/>
        </w:rPr>
        <w:t>’</w:t>
      </w:r>
      <w:r w:rsidR="00BD36A5" w:rsidRPr="00B94E33">
        <w:rPr>
          <w:lang w:val="fr-FR"/>
        </w:rPr>
        <w:t>être</w:t>
      </w:r>
      <w:r w:rsidRPr="00B94E33">
        <w:rPr>
          <w:lang w:val="fr-FR"/>
        </w:rPr>
        <w:t xml:space="preserve"> héberg</w:t>
      </w:r>
      <w:r w:rsidR="00BD36A5" w:rsidRPr="00B94E33">
        <w:rPr>
          <w:lang w:val="fr-FR"/>
        </w:rPr>
        <w:t>ée</w:t>
      </w:r>
      <w:r w:rsidRPr="00B94E33">
        <w:rPr>
          <w:lang w:val="fr-FR"/>
        </w:rPr>
        <w:t xml:space="preserve"> par une amie. </w:t>
      </w:r>
      <w:r w:rsidR="003C75EE" w:rsidRPr="00B94E33">
        <w:rPr>
          <w:lang w:val="fr-FR"/>
        </w:rPr>
        <w:t xml:space="preserve">Elle indique </w:t>
      </w:r>
      <w:r w:rsidR="00F935D7" w:rsidRPr="00B94E33">
        <w:rPr>
          <w:lang w:val="fr-FR"/>
        </w:rPr>
        <w:t>qu</w:t>
      </w:r>
      <w:r w:rsidR="00B94E33" w:rsidRPr="00B94E33">
        <w:rPr>
          <w:lang w:val="fr-FR"/>
        </w:rPr>
        <w:t>’</w:t>
      </w:r>
      <w:r w:rsidR="00F935D7" w:rsidRPr="00B94E33">
        <w:rPr>
          <w:lang w:val="fr-FR"/>
        </w:rPr>
        <w:t xml:space="preserve">elle </w:t>
      </w:r>
      <w:r w:rsidR="007A2412" w:rsidRPr="00B94E33">
        <w:rPr>
          <w:lang w:val="fr-FR"/>
        </w:rPr>
        <w:t>a</w:t>
      </w:r>
      <w:r w:rsidR="003C75EE" w:rsidRPr="00B94E33">
        <w:rPr>
          <w:lang w:val="fr-FR"/>
        </w:rPr>
        <w:t xml:space="preserve"> </w:t>
      </w:r>
      <w:r w:rsidR="007A2412" w:rsidRPr="00B94E33">
        <w:rPr>
          <w:lang w:val="fr-FR"/>
        </w:rPr>
        <w:t xml:space="preserve">ensuite </w:t>
      </w:r>
      <w:r w:rsidRPr="00B94E33">
        <w:rPr>
          <w:lang w:val="fr-FR"/>
        </w:rPr>
        <w:t>trouv</w:t>
      </w:r>
      <w:r w:rsidR="003C75EE" w:rsidRPr="00B94E33">
        <w:rPr>
          <w:lang w:val="fr-FR"/>
        </w:rPr>
        <w:t>é</w:t>
      </w:r>
      <w:r w:rsidRPr="00B94E33">
        <w:rPr>
          <w:lang w:val="fr-FR"/>
        </w:rPr>
        <w:t xml:space="preserve"> un travail d</w:t>
      </w:r>
      <w:r w:rsidR="00B94E33" w:rsidRPr="00B94E33">
        <w:rPr>
          <w:lang w:val="fr-FR"/>
        </w:rPr>
        <w:t>’</w:t>
      </w:r>
      <w:r w:rsidR="00450BF4" w:rsidRPr="00B94E33">
        <w:rPr>
          <w:lang w:val="fr-FR"/>
        </w:rPr>
        <w:t>aide-soignante</w:t>
      </w:r>
      <w:r w:rsidRPr="00B94E33">
        <w:rPr>
          <w:lang w:val="fr-FR"/>
        </w:rPr>
        <w:t xml:space="preserve"> </w:t>
      </w:r>
      <w:r w:rsidR="003C75EE" w:rsidRPr="00B94E33">
        <w:rPr>
          <w:lang w:val="fr-FR"/>
        </w:rPr>
        <w:t>auprès de</w:t>
      </w:r>
      <w:r w:rsidRPr="00B94E33">
        <w:rPr>
          <w:lang w:val="fr-FR"/>
        </w:rPr>
        <w:t xml:space="preserve"> personnes âgées et</w:t>
      </w:r>
      <w:r w:rsidR="00F935D7" w:rsidRPr="00B94E33">
        <w:rPr>
          <w:lang w:val="fr-FR"/>
        </w:rPr>
        <w:t xml:space="preserve"> que</w:t>
      </w:r>
      <w:r w:rsidR="003C75EE" w:rsidRPr="00B94E33">
        <w:rPr>
          <w:lang w:val="fr-FR"/>
        </w:rPr>
        <w:t>,</w:t>
      </w:r>
      <w:r w:rsidRPr="00B94E33">
        <w:rPr>
          <w:lang w:val="fr-FR"/>
        </w:rPr>
        <w:t xml:space="preserve"> </w:t>
      </w:r>
      <w:r w:rsidR="007A2412" w:rsidRPr="00B94E33">
        <w:rPr>
          <w:lang w:val="fr-FR"/>
        </w:rPr>
        <w:t>lorsque cela a été possible</w:t>
      </w:r>
      <w:r w:rsidR="003C75EE" w:rsidRPr="00B94E33">
        <w:rPr>
          <w:lang w:val="fr-FR"/>
        </w:rPr>
        <w:t>,</w:t>
      </w:r>
      <w:r w:rsidRPr="00B94E33">
        <w:rPr>
          <w:lang w:val="fr-FR"/>
        </w:rPr>
        <w:t xml:space="preserve"> elle </w:t>
      </w:r>
      <w:r w:rsidR="007A2412" w:rsidRPr="00B94E33">
        <w:rPr>
          <w:lang w:val="fr-FR"/>
        </w:rPr>
        <w:t>a</w:t>
      </w:r>
      <w:r w:rsidR="003C75EE" w:rsidRPr="00B94E33">
        <w:rPr>
          <w:lang w:val="fr-FR"/>
        </w:rPr>
        <w:t xml:space="preserve"> loué </w:t>
      </w:r>
      <w:r w:rsidRPr="00B94E33">
        <w:rPr>
          <w:lang w:val="fr-FR"/>
        </w:rPr>
        <w:t xml:space="preserve">un </w:t>
      </w:r>
      <w:r w:rsidR="00093B2B" w:rsidRPr="00B94E33">
        <w:rPr>
          <w:lang w:val="fr-FR"/>
        </w:rPr>
        <w:t>appartement. Selon</w:t>
      </w:r>
      <w:r w:rsidRPr="00B94E33">
        <w:rPr>
          <w:lang w:val="fr-FR"/>
        </w:rPr>
        <w:t xml:space="preserve"> la requérante, A.T. </w:t>
      </w:r>
      <w:r w:rsidR="00F935D7" w:rsidRPr="00B94E33">
        <w:rPr>
          <w:lang w:val="fr-FR"/>
        </w:rPr>
        <w:t xml:space="preserve">avait </w:t>
      </w:r>
      <w:r w:rsidRPr="00B94E33">
        <w:rPr>
          <w:lang w:val="fr-FR"/>
        </w:rPr>
        <w:t xml:space="preserve">continué à </w:t>
      </w:r>
      <w:r w:rsidR="00F935D7" w:rsidRPr="00B94E33">
        <w:rPr>
          <w:lang w:val="fr-FR"/>
        </w:rPr>
        <w:t xml:space="preserve">exercer </w:t>
      </w:r>
      <w:r w:rsidR="007A2412" w:rsidRPr="00B94E33">
        <w:rPr>
          <w:lang w:val="fr-FR"/>
        </w:rPr>
        <w:t>des</w:t>
      </w:r>
      <w:r w:rsidRPr="00B94E33">
        <w:rPr>
          <w:lang w:val="fr-FR"/>
        </w:rPr>
        <w:t xml:space="preserve"> pressio</w:t>
      </w:r>
      <w:r w:rsidR="00F935D7" w:rsidRPr="00B94E33">
        <w:rPr>
          <w:lang w:val="fr-FR"/>
        </w:rPr>
        <w:t>n</w:t>
      </w:r>
      <w:r w:rsidR="007A2412" w:rsidRPr="00B94E33">
        <w:rPr>
          <w:lang w:val="fr-FR"/>
        </w:rPr>
        <w:t>s</w:t>
      </w:r>
      <w:r w:rsidRPr="00B94E33">
        <w:rPr>
          <w:lang w:val="fr-FR"/>
        </w:rPr>
        <w:t xml:space="preserve"> psychologique</w:t>
      </w:r>
      <w:r w:rsidR="007A2412" w:rsidRPr="00B94E33">
        <w:rPr>
          <w:lang w:val="fr-FR"/>
        </w:rPr>
        <w:t>s</w:t>
      </w:r>
      <w:r w:rsidR="00F935D7" w:rsidRPr="00B94E33">
        <w:rPr>
          <w:lang w:val="fr-FR"/>
        </w:rPr>
        <w:t xml:space="preserve"> sur elle</w:t>
      </w:r>
      <w:r w:rsidRPr="00B94E33">
        <w:rPr>
          <w:lang w:val="fr-FR"/>
        </w:rPr>
        <w:t xml:space="preserve"> pour </w:t>
      </w:r>
      <w:r w:rsidR="00BD36A5" w:rsidRPr="00B94E33">
        <w:rPr>
          <w:lang w:val="fr-FR"/>
        </w:rPr>
        <w:t>l</w:t>
      </w:r>
      <w:r w:rsidR="00B94E33" w:rsidRPr="00B94E33">
        <w:rPr>
          <w:lang w:val="fr-FR"/>
        </w:rPr>
        <w:t>’</w:t>
      </w:r>
      <w:r w:rsidR="00BD36A5" w:rsidRPr="00B94E33">
        <w:rPr>
          <w:lang w:val="fr-FR"/>
        </w:rPr>
        <w:t xml:space="preserve">inciter à </w:t>
      </w:r>
      <w:r w:rsidRPr="00B94E33">
        <w:rPr>
          <w:lang w:val="fr-FR"/>
        </w:rPr>
        <w:t>retire</w:t>
      </w:r>
      <w:r w:rsidR="00BD36A5" w:rsidRPr="00B94E33">
        <w:rPr>
          <w:lang w:val="fr-FR"/>
        </w:rPr>
        <w:t>r</w:t>
      </w:r>
      <w:r w:rsidRPr="00B94E33">
        <w:rPr>
          <w:lang w:val="fr-FR"/>
        </w:rPr>
        <w:t xml:space="preserve"> </w:t>
      </w:r>
      <w:r w:rsidR="00F935D7" w:rsidRPr="00B94E33">
        <w:rPr>
          <w:lang w:val="fr-FR"/>
        </w:rPr>
        <w:t>s</w:t>
      </w:r>
      <w:r w:rsidRPr="00B94E33">
        <w:rPr>
          <w:lang w:val="fr-FR"/>
        </w:rPr>
        <w:t>a</w:t>
      </w:r>
      <w:r w:rsidR="00715896" w:rsidRPr="00B94E33">
        <w:rPr>
          <w:lang w:val="fr-FR"/>
        </w:rPr>
        <w:t xml:space="preserve"> plainte</w:t>
      </w:r>
      <w:r w:rsidRPr="00B94E33">
        <w:rPr>
          <w:lang w:val="fr-FR"/>
        </w:rPr>
        <w:t>.</w:t>
      </w:r>
    </w:p>
    <w:bookmarkStart w:id="8" w:name="para30"/>
    <w:p w:rsidR="00EF4E78" w:rsidRPr="00B94E33" w:rsidRDefault="00E943A9"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29</w:t>
      </w:r>
      <w:r w:rsidRPr="00B94E33">
        <w:rPr>
          <w:lang w:val="fr-FR"/>
        </w:rPr>
        <w:fldChar w:fldCharType="end"/>
      </w:r>
      <w:bookmarkEnd w:id="8"/>
      <w:r w:rsidRPr="00B94E33">
        <w:rPr>
          <w:lang w:val="fr-FR"/>
        </w:rPr>
        <w:t>.  Le 18 mars 2013, le procureur, const</w:t>
      </w:r>
      <w:r w:rsidR="000504E7" w:rsidRPr="00B94E33">
        <w:rPr>
          <w:lang w:val="fr-FR"/>
        </w:rPr>
        <w:t>at</w:t>
      </w:r>
      <w:r w:rsidRPr="00B94E33">
        <w:rPr>
          <w:lang w:val="fr-FR"/>
        </w:rPr>
        <w:t>ant qu</w:t>
      </w:r>
      <w:r w:rsidR="00B94E33" w:rsidRPr="00B94E33">
        <w:rPr>
          <w:lang w:val="fr-FR"/>
        </w:rPr>
        <w:t>’</w:t>
      </w:r>
      <w:r w:rsidRPr="00B94E33">
        <w:rPr>
          <w:lang w:val="fr-FR"/>
        </w:rPr>
        <w:t>aucun acte d</w:t>
      </w:r>
      <w:r w:rsidR="00B94E33" w:rsidRPr="00B94E33">
        <w:rPr>
          <w:lang w:val="fr-FR"/>
        </w:rPr>
        <w:t>’</w:t>
      </w:r>
      <w:r w:rsidRPr="00B94E33">
        <w:rPr>
          <w:lang w:val="fr-FR"/>
        </w:rPr>
        <w:t>enquête n</w:t>
      </w:r>
      <w:r w:rsidR="00B94E33" w:rsidRPr="00B94E33">
        <w:rPr>
          <w:lang w:val="fr-FR"/>
        </w:rPr>
        <w:t>’</w:t>
      </w:r>
      <w:r w:rsidRPr="00B94E33">
        <w:rPr>
          <w:lang w:val="fr-FR"/>
        </w:rPr>
        <w:t xml:space="preserve">avait été </w:t>
      </w:r>
      <w:r w:rsidR="000A658C" w:rsidRPr="00B94E33">
        <w:rPr>
          <w:lang w:val="fr-FR"/>
        </w:rPr>
        <w:t xml:space="preserve">accompli, </w:t>
      </w:r>
      <w:r w:rsidR="00BD36A5" w:rsidRPr="00B94E33">
        <w:rPr>
          <w:lang w:val="fr-FR"/>
        </w:rPr>
        <w:t>redemanda</w:t>
      </w:r>
      <w:r w:rsidR="009F486D" w:rsidRPr="00B94E33">
        <w:rPr>
          <w:lang w:val="fr-FR"/>
        </w:rPr>
        <w:t xml:space="preserve"> à la</w:t>
      </w:r>
      <w:r w:rsidRPr="00B94E33">
        <w:rPr>
          <w:lang w:val="fr-FR"/>
        </w:rPr>
        <w:t xml:space="preserve"> police</w:t>
      </w:r>
      <w:r w:rsidR="00715896" w:rsidRPr="00B94E33">
        <w:rPr>
          <w:lang w:val="fr-FR"/>
        </w:rPr>
        <w:t xml:space="preserve"> </w:t>
      </w:r>
      <w:r w:rsidR="009F486D" w:rsidRPr="00B94E33">
        <w:rPr>
          <w:lang w:val="fr-FR"/>
        </w:rPr>
        <w:t>d</w:t>
      </w:r>
      <w:r w:rsidR="00B94E33" w:rsidRPr="00B94E33">
        <w:rPr>
          <w:lang w:val="fr-FR"/>
        </w:rPr>
        <w:t>’</w:t>
      </w:r>
      <w:r w:rsidR="009F486D" w:rsidRPr="00B94E33">
        <w:rPr>
          <w:lang w:val="fr-FR"/>
        </w:rPr>
        <w:t>enquête</w:t>
      </w:r>
      <w:r w:rsidR="00BD36A5" w:rsidRPr="00B94E33">
        <w:rPr>
          <w:lang w:val="fr-FR"/>
        </w:rPr>
        <w:t>r</w:t>
      </w:r>
      <w:r w:rsidRPr="00B94E33">
        <w:rPr>
          <w:lang w:val="fr-FR"/>
        </w:rPr>
        <w:t xml:space="preserve"> </w:t>
      </w:r>
      <w:r w:rsidR="00BD36A5" w:rsidRPr="00B94E33">
        <w:rPr>
          <w:lang w:val="fr-FR"/>
        </w:rPr>
        <w:t xml:space="preserve">à bref délai </w:t>
      </w:r>
      <w:r w:rsidRPr="00B94E33">
        <w:rPr>
          <w:lang w:val="fr-FR"/>
        </w:rPr>
        <w:t xml:space="preserve">sur les </w:t>
      </w:r>
      <w:r w:rsidR="00746996" w:rsidRPr="00B94E33">
        <w:rPr>
          <w:lang w:val="fr-FR"/>
        </w:rPr>
        <w:t>allégations</w:t>
      </w:r>
      <w:r w:rsidRPr="00B94E33">
        <w:rPr>
          <w:lang w:val="fr-FR"/>
        </w:rPr>
        <w:t xml:space="preserve"> de l</w:t>
      </w:r>
      <w:r w:rsidR="00746996" w:rsidRPr="00B94E33">
        <w:rPr>
          <w:lang w:val="fr-FR"/>
        </w:rPr>
        <w:t>a requérante</w:t>
      </w:r>
      <w:r w:rsidRPr="00B94E33">
        <w:rPr>
          <w:lang w:val="fr-FR"/>
        </w:rPr>
        <w:t>.</w:t>
      </w:r>
    </w:p>
    <w:p w:rsidR="00715896" w:rsidRPr="00B94E33" w:rsidRDefault="00E943A9"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30</w:t>
      </w:r>
      <w:r w:rsidRPr="00B94E33">
        <w:rPr>
          <w:lang w:val="fr-FR"/>
        </w:rPr>
        <w:fldChar w:fldCharType="end"/>
      </w:r>
      <w:r w:rsidRPr="00B94E33">
        <w:rPr>
          <w:lang w:val="fr-FR"/>
        </w:rPr>
        <w:t xml:space="preserve">.  Le 4 avril 2013, sept mois après le dépôt de </w:t>
      </w:r>
      <w:r w:rsidR="000504E7" w:rsidRPr="00B94E33">
        <w:rPr>
          <w:lang w:val="fr-FR"/>
        </w:rPr>
        <w:t>s</w:t>
      </w:r>
      <w:r w:rsidRPr="00B94E33">
        <w:rPr>
          <w:lang w:val="fr-FR"/>
        </w:rPr>
        <w:t>a plainte, la requérante fut entendue pour la première fois par la police. Elle modifia ses déclarations</w:t>
      </w:r>
      <w:r w:rsidR="00344175" w:rsidRPr="00B94E33">
        <w:rPr>
          <w:lang w:val="fr-FR"/>
        </w:rPr>
        <w:t xml:space="preserve"> en</w:t>
      </w:r>
      <w:r w:rsidRPr="00B94E33">
        <w:rPr>
          <w:lang w:val="fr-FR"/>
        </w:rPr>
        <w:t xml:space="preserve"> atténua</w:t>
      </w:r>
      <w:r w:rsidR="00344175" w:rsidRPr="00B94E33">
        <w:rPr>
          <w:lang w:val="fr-FR"/>
        </w:rPr>
        <w:t>nt</w:t>
      </w:r>
      <w:r w:rsidRPr="00B94E33">
        <w:rPr>
          <w:lang w:val="fr-FR"/>
        </w:rPr>
        <w:t xml:space="preserve"> </w:t>
      </w:r>
      <w:r w:rsidR="00344175" w:rsidRPr="00B94E33">
        <w:rPr>
          <w:lang w:val="fr-FR"/>
        </w:rPr>
        <w:t>la gravité des faits dont elle s</w:t>
      </w:r>
      <w:r w:rsidR="00B94E33" w:rsidRPr="00B94E33">
        <w:rPr>
          <w:lang w:val="fr-FR"/>
        </w:rPr>
        <w:t>’</w:t>
      </w:r>
      <w:r w:rsidR="00344175" w:rsidRPr="00B94E33">
        <w:rPr>
          <w:lang w:val="fr-FR"/>
        </w:rPr>
        <w:t>était plainte</w:t>
      </w:r>
      <w:r w:rsidRPr="00B94E33">
        <w:rPr>
          <w:lang w:val="fr-FR"/>
        </w:rPr>
        <w:t xml:space="preserve">. </w:t>
      </w:r>
      <w:r w:rsidR="007D5CEE" w:rsidRPr="00B94E33">
        <w:rPr>
          <w:lang w:val="fr-FR"/>
        </w:rPr>
        <w:t>Concernant</w:t>
      </w:r>
      <w:r w:rsidRPr="00B94E33">
        <w:rPr>
          <w:lang w:val="fr-FR"/>
        </w:rPr>
        <w:t xml:space="preserve"> l</w:t>
      </w:r>
      <w:r w:rsidR="00B94E33" w:rsidRPr="00B94E33">
        <w:rPr>
          <w:lang w:val="fr-FR"/>
        </w:rPr>
        <w:t>’</w:t>
      </w:r>
      <w:r w:rsidRPr="00B94E33">
        <w:rPr>
          <w:lang w:val="fr-FR"/>
        </w:rPr>
        <w:t xml:space="preserve">épisode de juin 2012, elle </w:t>
      </w:r>
      <w:r w:rsidR="00A276DE" w:rsidRPr="00B94E33">
        <w:rPr>
          <w:lang w:val="fr-FR"/>
        </w:rPr>
        <w:t xml:space="preserve">déclara </w:t>
      </w:r>
      <w:r w:rsidRPr="00B94E33">
        <w:rPr>
          <w:lang w:val="fr-FR"/>
        </w:rPr>
        <w:t xml:space="preserve">que A.T. avait </w:t>
      </w:r>
      <w:r w:rsidR="00715896" w:rsidRPr="00B94E33">
        <w:rPr>
          <w:lang w:val="fr-FR"/>
        </w:rPr>
        <w:t>essayé</w:t>
      </w:r>
      <w:r w:rsidRPr="00B94E33">
        <w:rPr>
          <w:lang w:val="fr-FR"/>
        </w:rPr>
        <w:t xml:space="preserve"> de la frapper mais </w:t>
      </w:r>
      <w:r w:rsidR="00A276DE" w:rsidRPr="00B94E33">
        <w:rPr>
          <w:lang w:val="fr-FR"/>
        </w:rPr>
        <w:t>qu</w:t>
      </w:r>
      <w:r w:rsidR="00B94E33" w:rsidRPr="00B94E33">
        <w:rPr>
          <w:lang w:val="fr-FR"/>
        </w:rPr>
        <w:t>’</w:t>
      </w:r>
      <w:r w:rsidRPr="00B94E33">
        <w:rPr>
          <w:lang w:val="fr-FR"/>
        </w:rPr>
        <w:t>il n</w:t>
      </w:r>
      <w:r w:rsidR="00B94E33" w:rsidRPr="00B94E33">
        <w:rPr>
          <w:lang w:val="fr-FR"/>
        </w:rPr>
        <w:t>’</w:t>
      </w:r>
      <w:r w:rsidRPr="00B94E33">
        <w:rPr>
          <w:lang w:val="fr-FR"/>
        </w:rPr>
        <w:t>y était pas arrivé</w:t>
      </w:r>
      <w:r w:rsidR="00A276DE" w:rsidRPr="00B94E33">
        <w:rPr>
          <w:lang w:val="fr-FR"/>
        </w:rPr>
        <w:t xml:space="preserve"> et que</w:t>
      </w:r>
      <w:r w:rsidRPr="00B94E33">
        <w:rPr>
          <w:lang w:val="fr-FR"/>
        </w:rPr>
        <w:t xml:space="preserve"> sa fille </w:t>
      </w:r>
      <w:r w:rsidR="00A276DE" w:rsidRPr="00B94E33">
        <w:rPr>
          <w:lang w:val="fr-FR"/>
        </w:rPr>
        <w:t>n</w:t>
      </w:r>
      <w:r w:rsidR="00B94E33" w:rsidRPr="00B94E33">
        <w:rPr>
          <w:lang w:val="fr-FR"/>
        </w:rPr>
        <w:t>’</w:t>
      </w:r>
      <w:r w:rsidR="00A276DE" w:rsidRPr="00B94E33">
        <w:rPr>
          <w:lang w:val="fr-FR"/>
        </w:rPr>
        <w:t>avait pas non plus reçu de coups</w:t>
      </w:r>
      <w:r w:rsidRPr="00B94E33">
        <w:rPr>
          <w:lang w:val="fr-FR"/>
        </w:rPr>
        <w:t xml:space="preserve">. </w:t>
      </w:r>
      <w:r w:rsidR="00C02021" w:rsidRPr="00B94E33">
        <w:rPr>
          <w:lang w:val="fr-FR"/>
        </w:rPr>
        <w:t>C</w:t>
      </w:r>
      <w:r w:rsidR="00A276DE" w:rsidRPr="00B94E33">
        <w:rPr>
          <w:lang w:val="fr-FR"/>
        </w:rPr>
        <w:t>oncern</w:t>
      </w:r>
      <w:r w:rsidR="00C02021" w:rsidRPr="00B94E33">
        <w:rPr>
          <w:lang w:val="fr-FR"/>
        </w:rPr>
        <w:t>ant</w:t>
      </w:r>
      <w:r w:rsidR="00A276DE" w:rsidRPr="00B94E33">
        <w:rPr>
          <w:lang w:val="fr-FR"/>
        </w:rPr>
        <w:t xml:space="preserve"> l</w:t>
      </w:r>
      <w:r w:rsidR="00B94E33" w:rsidRPr="00B94E33">
        <w:rPr>
          <w:lang w:val="fr-FR"/>
        </w:rPr>
        <w:t>’</w:t>
      </w:r>
      <w:r w:rsidR="00A276DE" w:rsidRPr="00B94E33">
        <w:rPr>
          <w:lang w:val="fr-FR"/>
        </w:rPr>
        <w:t>incident du mois</w:t>
      </w:r>
      <w:r w:rsidRPr="00B94E33">
        <w:rPr>
          <w:lang w:val="fr-FR"/>
        </w:rPr>
        <w:t xml:space="preserve"> d</w:t>
      </w:r>
      <w:r w:rsidR="00B94E33" w:rsidRPr="00B94E33">
        <w:rPr>
          <w:lang w:val="fr-FR"/>
        </w:rPr>
        <w:t>’</w:t>
      </w:r>
      <w:r w:rsidRPr="00B94E33">
        <w:rPr>
          <w:lang w:val="fr-FR"/>
        </w:rPr>
        <w:t xml:space="preserve">août 2012, </w:t>
      </w:r>
      <w:r w:rsidR="00A276DE" w:rsidRPr="00B94E33">
        <w:rPr>
          <w:lang w:val="fr-FR"/>
        </w:rPr>
        <w:t xml:space="preserve">elle dit </w:t>
      </w:r>
      <w:r w:rsidR="007D5CEE" w:rsidRPr="00B94E33">
        <w:rPr>
          <w:lang w:val="fr-FR"/>
        </w:rPr>
        <w:t xml:space="preserve">que </w:t>
      </w:r>
      <w:r w:rsidRPr="00B94E33">
        <w:rPr>
          <w:lang w:val="fr-FR"/>
        </w:rPr>
        <w:t>A.T. l</w:t>
      </w:r>
      <w:r w:rsidR="00B94E33" w:rsidRPr="00B94E33">
        <w:rPr>
          <w:lang w:val="fr-FR"/>
        </w:rPr>
        <w:t>’</w:t>
      </w:r>
      <w:r w:rsidRPr="00B94E33">
        <w:rPr>
          <w:lang w:val="fr-FR"/>
        </w:rPr>
        <w:t xml:space="preserve">avait frappée mais </w:t>
      </w:r>
      <w:r w:rsidR="006B27DA" w:rsidRPr="00B94E33">
        <w:rPr>
          <w:lang w:val="fr-FR"/>
        </w:rPr>
        <w:t>qu</w:t>
      </w:r>
      <w:r w:rsidR="00B94E33" w:rsidRPr="00B94E33">
        <w:rPr>
          <w:lang w:val="fr-FR"/>
        </w:rPr>
        <w:t>’</w:t>
      </w:r>
      <w:r w:rsidR="006B27DA" w:rsidRPr="00B94E33">
        <w:rPr>
          <w:lang w:val="fr-FR"/>
        </w:rPr>
        <w:t>il ne l</w:t>
      </w:r>
      <w:r w:rsidR="00B94E33" w:rsidRPr="00B94E33">
        <w:rPr>
          <w:lang w:val="fr-FR"/>
        </w:rPr>
        <w:t>’</w:t>
      </w:r>
      <w:r w:rsidR="006B27DA" w:rsidRPr="00B94E33">
        <w:rPr>
          <w:lang w:val="fr-FR"/>
        </w:rPr>
        <w:t>avait pas menacée avec un</w:t>
      </w:r>
      <w:r w:rsidRPr="00B94E33">
        <w:rPr>
          <w:lang w:val="fr-FR"/>
        </w:rPr>
        <w:t xml:space="preserve"> couteau</w:t>
      </w:r>
      <w:r w:rsidR="006B27DA" w:rsidRPr="00B94E33">
        <w:rPr>
          <w:lang w:val="fr-FR"/>
        </w:rPr>
        <w:t>.</w:t>
      </w:r>
      <w:r w:rsidRPr="00B94E33">
        <w:rPr>
          <w:lang w:val="fr-FR"/>
        </w:rPr>
        <w:t xml:space="preserve"> </w:t>
      </w:r>
      <w:r w:rsidR="006B27DA" w:rsidRPr="00B94E33">
        <w:rPr>
          <w:lang w:val="fr-FR"/>
        </w:rPr>
        <w:t xml:space="preserve">En revanche, </w:t>
      </w:r>
      <w:r w:rsidRPr="00B94E33">
        <w:rPr>
          <w:lang w:val="fr-FR"/>
        </w:rPr>
        <w:t xml:space="preserve">A.T. </w:t>
      </w:r>
      <w:r w:rsidR="006B27DA" w:rsidRPr="00B94E33">
        <w:rPr>
          <w:lang w:val="fr-FR"/>
        </w:rPr>
        <w:t xml:space="preserve">aurait </w:t>
      </w:r>
      <w:r w:rsidR="00715896" w:rsidRPr="00B94E33">
        <w:rPr>
          <w:lang w:val="fr-FR"/>
        </w:rPr>
        <w:t xml:space="preserve">fait semblant </w:t>
      </w:r>
      <w:r w:rsidR="007D5CEE" w:rsidRPr="00B94E33">
        <w:rPr>
          <w:lang w:val="fr-FR"/>
        </w:rPr>
        <w:t>de retourner</w:t>
      </w:r>
      <w:r w:rsidR="00715896" w:rsidRPr="00B94E33">
        <w:rPr>
          <w:lang w:val="fr-FR"/>
        </w:rPr>
        <w:t xml:space="preserve"> le couteau </w:t>
      </w:r>
      <w:r w:rsidR="006B27DA" w:rsidRPr="00B94E33">
        <w:rPr>
          <w:lang w:val="fr-FR"/>
        </w:rPr>
        <w:t xml:space="preserve">contre </w:t>
      </w:r>
      <w:r w:rsidR="00715896" w:rsidRPr="00B94E33">
        <w:rPr>
          <w:lang w:val="fr-FR"/>
        </w:rPr>
        <w:t>lui</w:t>
      </w:r>
      <w:r w:rsidRPr="00B94E33">
        <w:rPr>
          <w:lang w:val="fr-FR"/>
        </w:rPr>
        <w:t>.</w:t>
      </w:r>
    </w:p>
    <w:p w:rsidR="00E943A9" w:rsidRPr="00B94E33" w:rsidRDefault="00715896" w:rsidP="00B94E33">
      <w:pPr>
        <w:pStyle w:val="ECHRPara"/>
        <w:rPr>
          <w:lang w:val="fr-FR"/>
        </w:rPr>
      </w:pPr>
      <w:r w:rsidRPr="00B94E33">
        <w:rPr>
          <w:lang w:val="fr-FR"/>
        </w:rPr>
        <w:lastRenderedPageBreak/>
        <w:t>La requérante</w:t>
      </w:r>
      <w:r w:rsidR="00E943A9" w:rsidRPr="00B94E33">
        <w:rPr>
          <w:lang w:val="fr-FR"/>
        </w:rPr>
        <w:t xml:space="preserve"> </w:t>
      </w:r>
      <w:r w:rsidR="006B27DA" w:rsidRPr="00B94E33">
        <w:rPr>
          <w:lang w:val="fr-FR"/>
        </w:rPr>
        <w:t xml:space="preserve">indiqua </w:t>
      </w:r>
      <w:r w:rsidR="00C02021" w:rsidRPr="00B94E33">
        <w:rPr>
          <w:lang w:val="fr-FR"/>
        </w:rPr>
        <w:t xml:space="preserve">encore </w:t>
      </w:r>
      <w:r w:rsidR="00E943A9" w:rsidRPr="00B94E33">
        <w:rPr>
          <w:lang w:val="fr-FR"/>
        </w:rPr>
        <w:t>qu</w:t>
      </w:r>
      <w:r w:rsidR="006B27DA" w:rsidRPr="00B94E33">
        <w:rPr>
          <w:lang w:val="fr-FR"/>
        </w:rPr>
        <w:t xml:space="preserve">e, </w:t>
      </w:r>
      <w:r w:rsidR="00E943A9" w:rsidRPr="00B94E33">
        <w:rPr>
          <w:lang w:val="fr-FR"/>
        </w:rPr>
        <w:t>à l</w:t>
      </w:r>
      <w:r w:rsidR="00B94E33" w:rsidRPr="00B94E33">
        <w:rPr>
          <w:lang w:val="fr-FR"/>
        </w:rPr>
        <w:t>’</w:t>
      </w:r>
      <w:r w:rsidR="00E943A9" w:rsidRPr="00B94E33">
        <w:rPr>
          <w:lang w:val="fr-FR"/>
        </w:rPr>
        <w:t>époque</w:t>
      </w:r>
      <w:r w:rsidR="006B27DA" w:rsidRPr="00B94E33">
        <w:rPr>
          <w:lang w:val="fr-FR"/>
        </w:rPr>
        <w:t>,</w:t>
      </w:r>
      <w:r w:rsidR="00E943A9" w:rsidRPr="00B94E33">
        <w:rPr>
          <w:lang w:val="fr-FR"/>
        </w:rPr>
        <w:t xml:space="preserve"> elle ne parlait pas bien l</w:t>
      </w:r>
      <w:r w:rsidR="00B94E33" w:rsidRPr="00B94E33">
        <w:rPr>
          <w:lang w:val="fr-FR"/>
        </w:rPr>
        <w:t>’</w:t>
      </w:r>
      <w:r w:rsidR="00E943A9" w:rsidRPr="00B94E33">
        <w:rPr>
          <w:lang w:val="fr-FR"/>
        </w:rPr>
        <w:t xml:space="preserve">italien et </w:t>
      </w:r>
      <w:r w:rsidR="00C02021" w:rsidRPr="00B94E33">
        <w:rPr>
          <w:lang w:val="fr-FR"/>
        </w:rPr>
        <w:t>qu</w:t>
      </w:r>
      <w:r w:rsidR="00B94E33" w:rsidRPr="00B94E33">
        <w:rPr>
          <w:lang w:val="fr-FR"/>
        </w:rPr>
        <w:t>’</w:t>
      </w:r>
      <w:r w:rsidR="00E943A9" w:rsidRPr="00B94E33">
        <w:rPr>
          <w:lang w:val="fr-FR"/>
        </w:rPr>
        <w:t>elle n</w:t>
      </w:r>
      <w:r w:rsidR="00B94E33" w:rsidRPr="00B94E33">
        <w:rPr>
          <w:lang w:val="fr-FR"/>
        </w:rPr>
        <w:t>’</w:t>
      </w:r>
      <w:r w:rsidR="00E943A9" w:rsidRPr="00B94E33">
        <w:rPr>
          <w:lang w:val="fr-FR"/>
        </w:rPr>
        <w:t>avait pas pu s</w:t>
      </w:r>
      <w:r w:rsidR="00B94E33" w:rsidRPr="00B94E33">
        <w:rPr>
          <w:lang w:val="fr-FR"/>
        </w:rPr>
        <w:t>’</w:t>
      </w:r>
      <w:r w:rsidR="00E943A9" w:rsidRPr="00B94E33">
        <w:rPr>
          <w:lang w:val="fr-FR"/>
        </w:rPr>
        <w:t xml:space="preserve">exprimer correctement. Elle </w:t>
      </w:r>
      <w:r w:rsidR="006B27DA" w:rsidRPr="00B94E33">
        <w:rPr>
          <w:lang w:val="fr-FR"/>
        </w:rPr>
        <w:t xml:space="preserve">déclara </w:t>
      </w:r>
      <w:r w:rsidR="00E943A9" w:rsidRPr="00B94E33">
        <w:rPr>
          <w:lang w:val="fr-FR"/>
        </w:rPr>
        <w:t>en outre que A.T. ne l</w:t>
      </w:r>
      <w:r w:rsidR="00B94E33" w:rsidRPr="00B94E33">
        <w:rPr>
          <w:lang w:val="fr-FR"/>
        </w:rPr>
        <w:t>’</w:t>
      </w:r>
      <w:r w:rsidR="00E943A9" w:rsidRPr="00B94E33">
        <w:rPr>
          <w:lang w:val="fr-FR"/>
        </w:rPr>
        <w:t xml:space="preserve">avait pas contrainte à </w:t>
      </w:r>
      <w:r w:rsidR="00AE7935" w:rsidRPr="00B94E33">
        <w:rPr>
          <w:lang w:val="fr-FR"/>
        </w:rPr>
        <w:t xml:space="preserve">avoir des rapports sexuels </w:t>
      </w:r>
      <w:r w:rsidRPr="00B94E33">
        <w:rPr>
          <w:lang w:val="fr-FR"/>
        </w:rPr>
        <w:t>avec d</w:t>
      </w:r>
      <w:r w:rsidR="00B94E33" w:rsidRPr="00B94E33">
        <w:rPr>
          <w:lang w:val="fr-FR"/>
        </w:rPr>
        <w:t>’</w:t>
      </w:r>
      <w:r w:rsidRPr="00B94E33">
        <w:rPr>
          <w:lang w:val="fr-FR"/>
        </w:rPr>
        <w:t>autre</w:t>
      </w:r>
      <w:r w:rsidR="007D5CEE" w:rsidRPr="00B94E33">
        <w:rPr>
          <w:lang w:val="fr-FR"/>
        </w:rPr>
        <w:t>s</w:t>
      </w:r>
      <w:r w:rsidRPr="00B94E33">
        <w:rPr>
          <w:lang w:val="fr-FR"/>
        </w:rPr>
        <w:t xml:space="preserve"> personnes</w:t>
      </w:r>
      <w:r w:rsidR="00E943A9" w:rsidRPr="00B94E33">
        <w:rPr>
          <w:lang w:val="fr-FR"/>
        </w:rPr>
        <w:t xml:space="preserve"> </w:t>
      </w:r>
      <w:r w:rsidRPr="00B94E33">
        <w:rPr>
          <w:lang w:val="fr-FR"/>
        </w:rPr>
        <w:t xml:space="preserve">et </w:t>
      </w:r>
      <w:r w:rsidR="00E943A9" w:rsidRPr="00B94E33">
        <w:rPr>
          <w:lang w:val="fr-FR"/>
        </w:rPr>
        <w:t>qu</w:t>
      </w:r>
      <w:r w:rsidR="00B94E33" w:rsidRPr="00B94E33">
        <w:rPr>
          <w:lang w:val="fr-FR"/>
        </w:rPr>
        <w:t>’</w:t>
      </w:r>
      <w:r w:rsidR="00E943A9" w:rsidRPr="00B94E33">
        <w:rPr>
          <w:lang w:val="fr-FR"/>
        </w:rPr>
        <w:t xml:space="preserve">elle était </w:t>
      </w:r>
      <w:r w:rsidR="006B27DA" w:rsidRPr="00B94E33">
        <w:rPr>
          <w:lang w:val="fr-FR"/>
        </w:rPr>
        <w:t>retournée</w:t>
      </w:r>
      <w:r w:rsidR="00E943A9" w:rsidRPr="00B94E33">
        <w:rPr>
          <w:lang w:val="fr-FR"/>
        </w:rPr>
        <w:t xml:space="preserve"> </w:t>
      </w:r>
      <w:r w:rsidR="006B27DA" w:rsidRPr="00B94E33">
        <w:rPr>
          <w:lang w:val="fr-FR"/>
        </w:rPr>
        <w:t xml:space="preserve">vivre </w:t>
      </w:r>
      <w:r w:rsidR="0042676B" w:rsidRPr="00B94E33">
        <w:rPr>
          <w:lang w:val="fr-FR"/>
        </w:rPr>
        <w:t>au domicile familial</w:t>
      </w:r>
      <w:r w:rsidRPr="00B94E33">
        <w:rPr>
          <w:lang w:val="fr-FR"/>
        </w:rPr>
        <w:t xml:space="preserve">. Elle </w:t>
      </w:r>
      <w:r w:rsidR="006B27DA" w:rsidRPr="00B94E33">
        <w:rPr>
          <w:lang w:val="fr-FR"/>
        </w:rPr>
        <w:t xml:space="preserve">dit </w:t>
      </w:r>
      <w:r w:rsidRPr="00B94E33">
        <w:rPr>
          <w:lang w:val="fr-FR"/>
        </w:rPr>
        <w:t>que</w:t>
      </w:r>
      <w:r w:rsidR="006B27DA" w:rsidRPr="00B94E33">
        <w:rPr>
          <w:lang w:val="fr-FR"/>
        </w:rPr>
        <w:t>,</w:t>
      </w:r>
      <w:r w:rsidRPr="00B94E33">
        <w:rPr>
          <w:lang w:val="fr-FR"/>
        </w:rPr>
        <w:t xml:space="preserve"> lorsqu</w:t>
      </w:r>
      <w:r w:rsidR="00B94E33" w:rsidRPr="00B94E33">
        <w:rPr>
          <w:lang w:val="fr-FR"/>
        </w:rPr>
        <w:t>’</w:t>
      </w:r>
      <w:r w:rsidRPr="00B94E33">
        <w:rPr>
          <w:lang w:val="fr-FR"/>
        </w:rPr>
        <w:t>elle était hébergée par l</w:t>
      </w:r>
      <w:r w:rsidR="00B94E33" w:rsidRPr="00B94E33">
        <w:rPr>
          <w:lang w:val="fr-FR"/>
        </w:rPr>
        <w:t>’</w:t>
      </w:r>
      <w:r w:rsidRPr="00B94E33">
        <w:rPr>
          <w:lang w:val="fr-FR"/>
        </w:rPr>
        <w:t xml:space="preserve">association, elle ne parlait pas </w:t>
      </w:r>
      <w:r w:rsidR="00AE7935" w:rsidRPr="00B94E33">
        <w:rPr>
          <w:lang w:val="fr-FR"/>
        </w:rPr>
        <w:t xml:space="preserve">par </w:t>
      </w:r>
      <w:r w:rsidRPr="00B94E33">
        <w:rPr>
          <w:lang w:val="fr-FR"/>
        </w:rPr>
        <w:t>téléphone avec son mari parce qu</w:t>
      </w:r>
      <w:r w:rsidR="00B94E33" w:rsidRPr="00B94E33">
        <w:rPr>
          <w:lang w:val="fr-FR"/>
        </w:rPr>
        <w:t>’</w:t>
      </w:r>
      <w:r w:rsidRPr="00B94E33">
        <w:rPr>
          <w:lang w:val="fr-FR"/>
        </w:rPr>
        <w:t>on lui a</w:t>
      </w:r>
      <w:r w:rsidR="00C02021" w:rsidRPr="00B94E33">
        <w:rPr>
          <w:lang w:val="fr-FR"/>
        </w:rPr>
        <w:t>ur</w:t>
      </w:r>
      <w:r w:rsidRPr="00B94E33">
        <w:rPr>
          <w:lang w:val="fr-FR"/>
        </w:rPr>
        <w:t>ait dit d</w:t>
      </w:r>
      <w:r w:rsidR="00B94E33" w:rsidRPr="00B94E33">
        <w:rPr>
          <w:lang w:val="fr-FR"/>
        </w:rPr>
        <w:t>’</w:t>
      </w:r>
      <w:r w:rsidRPr="00B94E33">
        <w:rPr>
          <w:lang w:val="fr-FR"/>
        </w:rPr>
        <w:t xml:space="preserve">agir ainsi. </w:t>
      </w:r>
      <w:r w:rsidR="007D5CEE" w:rsidRPr="00B94E33">
        <w:rPr>
          <w:lang w:val="fr-FR"/>
        </w:rPr>
        <w:t>Elle assura que</w:t>
      </w:r>
      <w:r w:rsidR="006B27DA" w:rsidRPr="00B94E33">
        <w:rPr>
          <w:lang w:val="fr-FR"/>
        </w:rPr>
        <w:t>, e</w:t>
      </w:r>
      <w:r w:rsidR="00E943A9" w:rsidRPr="00B94E33">
        <w:rPr>
          <w:lang w:val="fr-FR"/>
        </w:rPr>
        <w:t>xception fait</w:t>
      </w:r>
      <w:r w:rsidR="006B27DA" w:rsidRPr="00B94E33">
        <w:rPr>
          <w:lang w:val="fr-FR"/>
        </w:rPr>
        <w:t>e</w:t>
      </w:r>
      <w:r w:rsidR="00E943A9" w:rsidRPr="00B94E33">
        <w:rPr>
          <w:lang w:val="fr-FR"/>
        </w:rPr>
        <w:t xml:space="preserve"> </w:t>
      </w:r>
      <w:r w:rsidR="006B27DA" w:rsidRPr="00B94E33">
        <w:rPr>
          <w:lang w:val="fr-FR"/>
        </w:rPr>
        <w:t xml:space="preserve">de </w:t>
      </w:r>
      <w:r w:rsidR="00E943A9" w:rsidRPr="00B94E33">
        <w:rPr>
          <w:lang w:val="fr-FR"/>
        </w:rPr>
        <w:t>l</w:t>
      </w:r>
      <w:r w:rsidR="00B94E33" w:rsidRPr="00B94E33">
        <w:rPr>
          <w:lang w:val="fr-FR"/>
        </w:rPr>
        <w:t>’</w:t>
      </w:r>
      <w:r w:rsidR="00E943A9" w:rsidRPr="00B94E33">
        <w:rPr>
          <w:lang w:val="fr-FR"/>
        </w:rPr>
        <w:t xml:space="preserve">alcoolisme de son mari, la situation </w:t>
      </w:r>
      <w:r w:rsidRPr="00B94E33">
        <w:rPr>
          <w:lang w:val="fr-FR"/>
        </w:rPr>
        <w:t xml:space="preserve">à la maison était calme. </w:t>
      </w:r>
      <w:r w:rsidR="00E943A9" w:rsidRPr="00B94E33">
        <w:rPr>
          <w:lang w:val="fr-FR"/>
        </w:rPr>
        <w:t xml:space="preserve">Elle </w:t>
      </w:r>
      <w:r w:rsidR="00FA3010" w:rsidRPr="00B94E33">
        <w:rPr>
          <w:lang w:val="fr-FR"/>
        </w:rPr>
        <w:t>conclut</w:t>
      </w:r>
      <w:r w:rsidR="00E943A9" w:rsidRPr="00B94E33">
        <w:rPr>
          <w:lang w:val="fr-FR"/>
        </w:rPr>
        <w:t xml:space="preserve"> que son mari était un bon père et un bon mari et qu</w:t>
      </w:r>
      <w:r w:rsidR="00B94E33" w:rsidRPr="00B94E33">
        <w:rPr>
          <w:lang w:val="fr-FR"/>
        </w:rPr>
        <w:t>’</w:t>
      </w:r>
      <w:r w:rsidR="00E943A9" w:rsidRPr="00B94E33">
        <w:rPr>
          <w:lang w:val="fr-FR"/>
        </w:rPr>
        <w:t>il n</w:t>
      </w:r>
      <w:r w:rsidR="00B94E33" w:rsidRPr="00B94E33">
        <w:rPr>
          <w:lang w:val="fr-FR"/>
        </w:rPr>
        <w:t>’</w:t>
      </w:r>
      <w:r w:rsidR="006B27DA" w:rsidRPr="00B94E33">
        <w:rPr>
          <w:lang w:val="fr-FR"/>
        </w:rPr>
        <w:t xml:space="preserve">y </w:t>
      </w:r>
      <w:r w:rsidR="00E943A9" w:rsidRPr="00B94E33">
        <w:rPr>
          <w:lang w:val="fr-FR"/>
        </w:rPr>
        <w:t>avait plus eu aucun épisode de violence</w:t>
      </w:r>
      <w:r w:rsidR="000310CA" w:rsidRPr="00B94E33">
        <w:rPr>
          <w:lang w:val="fr-FR"/>
        </w:rPr>
        <w:t>s</w:t>
      </w:r>
      <w:r w:rsidR="006B27DA" w:rsidRPr="00B94E33">
        <w:rPr>
          <w:lang w:val="fr-FR"/>
        </w:rPr>
        <w:t>.</w:t>
      </w:r>
    </w:p>
    <w:p w:rsidR="00E943A9" w:rsidRPr="00B94E33" w:rsidRDefault="00E943A9"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31</w:t>
      </w:r>
      <w:r w:rsidRPr="00B94E33">
        <w:rPr>
          <w:lang w:val="fr-FR"/>
        </w:rPr>
        <w:fldChar w:fldCharType="end"/>
      </w:r>
      <w:r w:rsidRPr="00B94E33">
        <w:rPr>
          <w:lang w:val="fr-FR"/>
        </w:rPr>
        <w:t xml:space="preserve">.  La requérante soutient </w:t>
      </w:r>
      <w:r w:rsidR="002B2E9D" w:rsidRPr="00B94E33">
        <w:rPr>
          <w:lang w:val="fr-FR"/>
        </w:rPr>
        <w:t>qu</w:t>
      </w:r>
      <w:r w:rsidR="00B94E33" w:rsidRPr="00B94E33">
        <w:rPr>
          <w:lang w:val="fr-FR"/>
        </w:rPr>
        <w:t>’</w:t>
      </w:r>
      <w:r w:rsidR="002B2E9D" w:rsidRPr="00B94E33">
        <w:rPr>
          <w:lang w:val="fr-FR"/>
        </w:rPr>
        <w:t>elle a modifié s</w:t>
      </w:r>
      <w:r w:rsidR="007D5CEE" w:rsidRPr="00B94E33">
        <w:rPr>
          <w:lang w:val="fr-FR"/>
        </w:rPr>
        <w:t>es</w:t>
      </w:r>
      <w:r w:rsidR="002B2E9D" w:rsidRPr="00B94E33">
        <w:rPr>
          <w:lang w:val="fr-FR"/>
        </w:rPr>
        <w:t xml:space="preserve"> déclaration</w:t>
      </w:r>
      <w:r w:rsidR="007D5CEE" w:rsidRPr="00B94E33">
        <w:rPr>
          <w:lang w:val="fr-FR"/>
        </w:rPr>
        <w:t>s</w:t>
      </w:r>
      <w:r w:rsidR="002B2E9D" w:rsidRPr="00B94E33">
        <w:rPr>
          <w:lang w:val="fr-FR"/>
        </w:rPr>
        <w:t xml:space="preserve"> initiale</w:t>
      </w:r>
      <w:r w:rsidR="007D5CEE" w:rsidRPr="00B94E33">
        <w:rPr>
          <w:lang w:val="fr-FR"/>
        </w:rPr>
        <w:t>s</w:t>
      </w:r>
      <w:r w:rsidR="002B2E9D" w:rsidRPr="00B94E33">
        <w:rPr>
          <w:lang w:val="fr-FR"/>
        </w:rPr>
        <w:t xml:space="preserve"> en raison des pressions</w:t>
      </w:r>
      <w:r w:rsidRPr="00B94E33">
        <w:rPr>
          <w:lang w:val="fr-FR"/>
        </w:rPr>
        <w:t xml:space="preserve"> </w:t>
      </w:r>
      <w:r w:rsidR="00715896" w:rsidRPr="00B94E33">
        <w:rPr>
          <w:lang w:val="fr-FR"/>
        </w:rPr>
        <w:t>psychologique</w:t>
      </w:r>
      <w:r w:rsidR="002B2E9D" w:rsidRPr="00B94E33">
        <w:rPr>
          <w:lang w:val="fr-FR"/>
        </w:rPr>
        <w:t>s</w:t>
      </w:r>
      <w:r w:rsidR="00715896" w:rsidRPr="00B94E33">
        <w:rPr>
          <w:lang w:val="fr-FR"/>
        </w:rPr>
        <w:t xml:space="preserve"> </w:t>
      </w:r>
      <w:r w:rsidRPr="00B94E33">
        <w:rPr>
          <w:lang w:val="fr-FR"/>
        </w:rPr>
        <w:t>qu</w:t>
      </w:r>
      <w:r w:rsidR="00B94E33" w:rsidRPr="00B94E33">
        <w:rPr>
          <w:lang w:val="fr-FR"/>
        </w:rPr>
        <w:t>’</w:t>
      </w:r>
      <w:r w:rsidRPr="00B94E33">
        <w:rPr>
          <w:lang w:val="fr-FR"/>
        </w:rPr>
        <w:t xml:space="preserve">elle </w:t>
      </w:r>
      <w:r w:rsidR="00C02021" w:rsidRPr="00B94E33">
        <w:rPr>
          <w:lang w:val="fr-FR"/>
        </w:rPr>
        <w:t xml:space="preserve">aurait </w:t>
      </w:r>
      <w:r w:rsidR="002B2E9D" w:rsidRPr="00B94E33">
        <w:rPr>
          <w:lang w:val="fr-FR"/>
        </w:rPr>
        <w:t>subi</w:t>
      </w:r>
      <w:r w:rsidR="00C02021" w:rsidRPr="00B94E33">
        <w:rPr>
          <w:lang w:val="fr-FR"/>
        </w:rPr>
        <w:t>es</w:t>
      </w:r>
      <w:r w:rsidR="002B2E9D" w:rsidRPr="00B94E33">
        <w:rPr>
          <w:lang w:val="fr-FR"/>
        </w:rPr>
        <w:t xml:space="preserve"> </w:t>
      </w:r>
      <w:r w:rsidR="00A824E5" w:rsidRPr="00B94E33">
        <w:rPr>
          <w:lang w:val="fr-FR"/>
        </w:rPr>
        <w:t>de la part de</w:t>
      </w:r>
      <w:r w:rsidRPr="00B94E33">
        <w:rPr>
          <w:lang w:val="fr-FR"/>
        </w:rPr>
        <w:t xml:space="preserve"> son mari</w:t>
      </w:r>
      <w:r w:rsidR="00715896" w:rsidRPr="00B94E33">
        <w:rPr>
          <w:lang w:val="fr-FR"/>
        </w:rPr>
        <w:t>.</w:t>
      </w:r>
    </w:p>
    <w:p w:rsidR="00E943A9" w:rsidRPr="00B94E33" w:rsidRDefault="00E943A9"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32</w:t>
      </w:r>
      <w:r w:rsidRPr="00B94E33">
        <w:rPr>
          <w:lang w:val="fr-FR"/>
        </w:rPr>
        <w:fldChar w:fldCharType="end"/>
      </w:r>
      <w:r w:rsidRPr="00B94E33">
        <w:rPr>
          <w:lang w:val="fr-FR"/>
        </w:rPr>
        <w:t>.  Le 30 mai 2013, le parquet de Udine</w:t>
      </w:r>
      <w:r w:rsidR="006B27DA" w:rsidRPr="00B94E33">
        <w:rPr>
          <w:lang w:val="fr-FR"/>
        </w:rPr>
        <w:t>,</w:t>
      </w:r>
      <w:r w:rsidRPr="00B94E33">
        <w:rPr>
          <w:lang w:val="fr-FR"/>
        </w:rPr>
        <w:t xml:space="preserve"> après avoir relevé</w:t>
      </w:r>
      <w:r w:rsidR="006B27DA" w:rsidRPr="00B94E33">
        <w:rPr>
          <w:lang w:val="fr-FR"/>
        </w:rPr>
        <w:t>, d</w:t>
      </w:r>
      <w:r w:rsidR="00B94E33" w:rsidRPr="00B94E33">
        <w:rPr>
          <w:lang w:val="fr-FR"/>
        </w:rPr>
        <w:t>’</w:t>
      </w:r>
      <w:r w:rsidR="006B27DA" w:rsidRPr="00B94E33">
        <w:rPr>
          <w:lang w:val="fr-FR"/>
        </w:rPr>
        <w:t xml:space="preserve">une part, </w:t>
      </w:r>
      <w:r w:rsidRPr="00B94E33">
        <w:rPr>
          <w:lang w:val="fr-FR"/>
        </w:rPr>
        <w:t xml:space="preserve">que la requérante, entendue en avril, avait atténué </w:t>
      </w:r>
      <w:r w:rsidR="006B27DA" w:rsidRPr="00B94E33">
        <w:rPr>
          <w:lang w:val="fr-FR"/>
        </w:rPr>
        <w:t xml:space="preserve">la gravité des </w:t>
      </w:r>
      <w:r w:rsidRPr="00B94E33">
        <w:rPr>
          <w:lang w:val="fr-FR"/>
        </w:rPr>
        <w:t xml:space="preserve">accusations </w:t>
      </w:r>
      <w:r w:rsidR="006B27DA" w:rsidRPr="00B94E33">
        <w:rPr>
          <w:lang w:val="fr-FR"/>
        </w:rPr>
        <w:t>qu</w:t>
      </w:r>
      <w:r w:rsidR="00B94E33" w:rsidRPr="00B94E33">
        <w:rPr>
          <w:lang w:val="fr-FR"/>
        </w:rPr>
        <w:t>’</w:t>
      </w:r>
      <w:r w:rsidR="006B27DA" w:rsidRPr="00B94E33">
        <w:rPr>
          <w:lang w:val="fr-FR"/>
        </w:rPr>
        <w:t>elle avait porté</w:t>
      </w:r>
      <w:r w:rsidR="00A824E5" w:rsidRPr="00B94E33">
        <w:rPr>
          <w:lang w:val="fr-FR"/>
        </w:rPr>
        <w:t xml:space="preserve">es </w:t>
      </w:r>
      <w:r w:rsidR="006B27DA" w:rsidRPr="00B94E33">
        <w:rPr>
          <w:lang w:val="fr-FR"/>
        </w:rPr>
        <w:t xml:space="preserve">contre </w:t>
      </w:r>
      <w:r w:rsidRPr="00B94E33">
        <w:rPr>
          <w:lang w:val="fr-FR"/>
        </w:rPr>
        <w:t xml:space="preserve">son mari en </w:t>
      </w:r>
      <w:r w:rsidR="000310CA" w:rsidRPr="00B94E33">
        <w:rPr>
          <w:lang w:val="fr-FR"/>
        </w:rPr>
        <w:t>indiquant</w:t>
      </w:r>
      <w:r w:rsidR="006B27DA" w:rsidRPr="00B94E33">
        <w:rPr>
          <w:lang w:val="fr-FR"/>
        </w:rPr>
        <w:t xml:space="preserve"> </w:t>
      </w:r>
      <w:r w:rsidRPr="00B94E33">
        <w:rPr>
          <w:lang w:val="fr-FR"/>
        </w:rPr>
        <w:t>qu</w:t>
      </w:r>
      <w:r w:rsidR="00B94E33" w:rsidRPr="00B94E33">
        <w:rPr>
          <w:lang w:val="fr-FR"/>
        </w:rPr>
        <w:t>’</w:t>
      </w:r>
      <w:r w:rsidRPr="00B94E33">
        <w:rPr>
          <w:lang w:val="fr-FR"/>
        </w:rPr>
        <w:t>il ne l</w:t>
      </w:r>
      <w:r w:rsidR="00B94E33" w:rsidRPr="00B94E33">
        <w:rPr>
          <w:lang w:val="fr-FR"/>
        </w:rPr>
        <w:t>’</w:t>
      </w:r>
      <w:r w:rsidRPr="00B94E33">
        <w:rPr>
          <w:lang w:val="fr-FR"/>
        </w:rPr>
        <w:t xml:space="preserve">avait pas menacée avec </w:t>
      </w:r>
      <w:r w:rsidR="006B27DA" w:rsidRPr="00B94E33">
        <w:rPr>
          <w:lang w:val="fr-FR"/>
        </w:rPr>
        <w:t xml:space="preserve">un </w:t>
      </w:r>
      <w:r w:rsidRPr="00B94E33">
        <w:rPr>
          <w:lang w:val="fr-FR"/>
        </w:rPr>
        <w:t>couteau et qu</w:t>
      </w:r>
      <w:r w:rsidR="00B94E33" w:rsidRPr="00B94E33">
        <w:rPr>
          <w:lang w:val="fr-FR"/>
        </w:rPr>
        <w:t>’</w:t>
      </w:r>
      <w:r w:rsidRPr="00B94E33">
        <w:rPr>
          <w:lang w:val="fr-FR"/>
        </w:rPr>
        <w:t xml:space="preserve">elle avait été mal comprise par </w:t>
      </w:r>
      <w:r w:rsidR="000310CA" w:rsidRPr="00B94E33">
        <w:rPr>
          <w:lang w:val="fr-FR"/>
        </w:rPr>
        <w:t>l</w:t>
      </w:r>
      <w:r w:rsidR="00B94E33" w:rsidRPr="00B94E33">
        <w:rPr>
          <w:lang w:val="fr-FR"/>
        </w:rPr>
        <w:t>’</w:t>
      </w:r>
      <w:r w:rsidR="000310CA" w:rsidRPr="00B94E33">
        <w:rPr>
          <w:lang w:val="fr-FR"/>
        </w:rPr>
        <w:t>employée</w:t>
      </w:r>
      <w:r w:rsidR="002B2E9D" w:rsidRPr="00B94E33">
        <w:rPr>
          <w:lang w:val="fr-FR"/>
        </w:rPr>
        <w:t xml:space="preserve"> </w:t>
      </w:r>
      <w:r w:rsidRPr="00B94E33">
        <w:rPr>
          <w:lang w:val="fr-FR"/>
        </w:rPr>
        <w:t>du centre où elle s</w:t>
      </w:r>
      <w:r w:rsidR="00B94E33" w:rsidRPr="00B94E33">
        <w:rPr>
          <w:lang w:val="fr-FR"/>
        </w:rPr>
        <w:t>’</w:t>
      </w:r>
      <w:r w:rsidRPr="00B94E33">
        <w:rPr>
          <w:lang w:val="fr-FR"/>
        </w:rPr>
        <w:t xml:space="preserve">était </w:t>
      </w:r>
      <w:r w:rsidR="00971497" w:rsidRPr="00B94E33">
        <w:rPr>
          <w:lang w:val="fr-FR"/>
        </w:rPr>
        <w:t>réfugiée</w:t>
      </w:r>
      <w:r w:rsidRPr="00B94E33">
        <w:rPr>
          <w:lang w:val="fr-FR"/>
        </w:rPr>
        <w:t xml:space="preserve"> </w:t>
      </w:r>
      <w:r w:rsidR="006B27DA" w:rsidRPr="00B94E33">
        <w:rPr>
          <w:lang w:val="fr-FR"/>
        </w:rPr>
        <w:t>et, d</w:t>
      </w:r>
      <w:r w:rsidR="00B94E33" w:rsidRPr="00B94E33">
        <w:rPr>
          <w:lang w:val="fr-FR"/>
        </w:rPr>
        <w:t>’</w:t>
      </w:r>
      <w:r w:rsidR="006B27DA" w:rsidRPr="00B94E33">
        <w:rPr>
          <w:lang w:val="fr-FR"/>
        </w:rPr>
        <w:t xml:space="preserve">autre part, </w:t>
      </w:r>
      <w:r w:rsidRPr="00B94E33">
        <w:rPr>
          <w:lang w:val="fr-FR"/>
        </w:rPr>
        <w:t>qu</w:t>
      </w:r>
      <w:r w:rsidR="00B94E33" w:rsidRPr="00B94E33">
        <w:rPr>
          <w:lang w:val="fr-FR"/>
        </w:rPr>
        <w:t>’</w:t>
      </w:r>
      <w:r w:rsidRPr="00B94E33">
        <w:rPr>
          <w:lang w:val="fr-FR"/>
        </w:rPr>
        <w:t xml:space="preserve">aucun </w:t>
      </w:r>
      <w:r w:rsidR="0001378A" w:rsidRPr="00B94E33">
        <w:rPr>
          <w:lang w:val="fr-FR"/>
        </w:rPr>
        <w:t xml:space="preserve">autre </w:t>
      </w:r>
      <w:r w:rsidRPr="00B94E33">
        <w:rPr>
          <w:lang w:val="fr-FR"/>
        </w:rPr>
        <w:t>épisode de violence</w:t>
      </w:r>
      <w:r w:rsidR="000310CA" w:rsidRPr="00B94E33">
        <w:rPr>
          <w:lang w:val="fr-FR"/>
        </w:rPr>
        <w:t>s</w:t>
      </w:r>
      <w:r w:rsidRPr="00B94E33">
        <w:rPr>
          <w:lang w:val="fr-FR"/>
        </w:rPr>
        <w:t xml:space="preserve"> n</w:t>
      </w:r>
      <w:r w:rsidR="00B94E33" w:rsidRPr="00B94E33">
        <w:rPr>
          <w:lang w:val="fr-FR"/>
        </w:rPr>
        <w:t>’</w:t>
      </w:r>
      <w:r w:rsidRPr="00B94E33">
        <w:rPr>
          <w:lang w:val="fr-FR"/>
        </w:rPr>
        <w:t xml:space="preserve">avait eu lieu, demanda au juge </w:t>
      </w:r>
      <w:r w:rsidR="006B27DA" w:rsidRPr="00B94E33">
        <w:rPr>
          <w:lang w:val="fr-FR"/>
        </w:rPr>
        <w:t xml:space="preserve">des </w:t>
      </w:r>
      <w:r w:rsidRPr="00B94E33">
        <w:rPr>
          <w:lang w:val="fr-FR"/>
        </w:rPr>
        <w:t>investigations préliminaires (</w:t>
      </w:r>
      <w:r w:rsidR="00A7068F" w:rsidRPr="00B94E33">
        <w:rPr>
          <w:lang w:val="fr-FR"/>
        </w:rPr>
        <w:t xml:space="preserve">« le </w:t>
      </w:r>
      <w:r w:rsidRPr="00B94E33">
        <w:rPr>
          <w:lang w:val="fr-FR"/>
        </w:rPr>
        <w:t>GIP</w:t>
      </w:r>
      <w:r w:rsidR="00A7068F" w:rsidRPr="00B94E33">
        <w:rPr>
          <w:lang w:val="fr-FR"/>
        </w:rPr>
        <w:t> »</w:t>
      </w:r>
      <w:r w:rsidRPr="00B94E33">
        <w:rPr>
          <w:lang w:val="fr-FR"/>
        </w:rPr>
        <w:t xml:space="preserve">) de classer la plainte </w:t>
      </w:r>
      <w:r w:rsidR="0001378A" w:rsidRPr="00B94E33">
        <w:rPr>
          <w:lang w:val="fr-FR"/>
        </w:rPr>
        <w:t>déposée à l</w:t>
      </w:r>
      <w:r w:rsidR="00B94E33" w:rsidRPr="00B94E33">
        <w:rPr>
          <w:lang w:val="fr-FR"/>
        </w:rPr>
        <w:t>’</w:t>
      </w:r>
      <w:r w:rsidR="0001378A" w:rsidRPr="00B94E33">
        <w:rPr>
          <w:lang w:val="fr-FR"/>
        </w:rPr>
        <w:t xml:space="preserve">encontre de A.T. pour </w:t>
      </w:r>
      <w:r w:rsidRPr="00B94E33">
        <w:rPr>
          <w:lang w:val="fr-FR"/>
        </w:rPr>
        <w:t xml:space="preserve">maltraitance </w:t>
      </w:r>
      <w:r w:rsidR="00D23996" w:rsidRPr="00B94E33">
        <w:rPr>
          <w:lang w:val="fr-FR"/>
        </w:rPr>
        <w:t>familiale</w:t>
      </w:r>
      <w:r w:rsidRPr="00B94E33">
        <w:rPr>
          <w:lang w:val="fr-FR"/>
        </w:rPr>
        <w:t xml:space="preserve">. Quant au délit de </w:t>
      </w:r>
      <w:r w:rsidR="001173C2" w:rsidRPr="00B94E33">
        <w:rPr>
          <w:lang w:val="fr-FR"/>
        </w:rPr>
        <w:t>lésions corporelles</w:t>
      </w:r>
      <w:r w:rsidR="0001378A" w:rsidRPr="00B94E33">
        <w:rPr>
          <w:lang w:val="fr-FR"/>
        </w:rPr>
        <w:t xml:space="preserve"> </w:t>
      </w:r>
      <w:r w:rsidR="00715896" w:rsidRPr="00B94E33">
        <w:rPr>
          <w:lang w:val="fr-FR"/>
        </w:rPr>
        <w:t>aggravées</w:t>
      </w:r>
      <w:r w:rsidRPr="00B94E33">
        <w:rPr>
          <w:lang w:val="fr-FR"/>
        </w:rPr>
        <w:t xml:space="preserve">, le parquet </w:t>
      </w:r>
      <w:r w:rsidR="0001378A" w:rsidRPr="00B94E33">
        <w:rPr>
          <w:lang w:val="fr-FR"/>
        </w:rPr>
        <w:t>indiqua qu</w:t>
      </w:r>
      <w:r w:rsidR="00B94E33" w:rsidRPr="00B94E33">
        <w:rPr>
          <w:lang w:val="fr-FR"/>
        </w:rPr>
        <w:t>’</w:t>
      </w:r>
      <w:r w:rsidR="0001378A" w:rsidRPr="00B94E33">
        <w:rPr>
          <w:lang w:val="fr-FR"/>
        </w:rPr>
        <w:t xml:space="preserve">il souhaitait </w:t>
      </w:r>
      <w:r w:rsidRPr="00B94E33">
        <w:rPr>
          <w:lang w:val="fr-FR"/>
        </w:rPr>
        <w:t>continuer les investigations.</w:t>
      </w:r>
    </w:p>
    <w:p w:rsidR="00E943A9" w:rsidRPr="00B94E33" w:rsidRDefault="00E943A9"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33</w:t>
      </w:r>
      <w:r w:rsidRPr="00B94E33">
        <w:rPr>
          <w:lang w:val="fr-FR"/>
        </w:rPr>
        <w:fldChar w:fldCharType="end"/>
      </w:r>
      <w:r w:rsidRPr="00B94E33">
        <w:rPr>
          <w:lang w:val="fr-FR"/>
        </w:rPr>
        <w:t>.  Par une décision du 1</w:t>
      </w:r>
      <w:r w:rsidRPr="00B94E33">
        <w:rPr>
          <w:vertAlign w:val="superscript"/>
          <w:lang w:val="fr-FR"/>
        </w:rPr>
        <w:t>er</w:t>
      </w:r>
      <w:r w:rsidRPr="00B94E33">
        <w:rPr>
          <w:lang w:val="fr-FR"/>
        </w:rPr>
        <w:t xml:space="preserve"> août 2013, </w:t>
      </w:r>
      <w:r w:rsidR="00EB0008" w:rsidRPr="00B94E33">
        <w:rPr>
          <w:lang w:val="fr-FR"/>
        </w:rPr>
        <w:t xml:space="preserve">le GIP classa </w:t>
      </w:r>
      <w:r w:rsidRPr="00B94E33">
        <w:rPr>
          <w:lang w:val="fr-FR"/>
        </w:rPr>
        <w:t xml:space="preserve">la plainte </w:t>
      </w:r>
      <w:r w:rsidR="00AE7935" w:rsidRPr="00B94E33">
        <w:rPr>
          <w:lang w:val="fr-FR"/>
        </w:rPr>
        <w:t xml:space="preserve">pour la partie qui </w:t>
      </w:r>
      <w:r w:rsidRPr="00B94E33">
        <w:rPr>
          <w:lang w:val="fr-FR"/>
        </w:rPr>
        <w:t>concerna</w:t>
      </w:r>
      <w:r w:rsidR="00AE7935" w:rsidRPr="00B94E33">
        <w:rPr>
          <w:lang w:val="fr-FR"/>
        </w:rPr>
        <w:t>i</w:t>
      </w:r>
      <w:r w:rsidRPr="00B94E33">
        <w:rPr>
          <w:lang w:val="fr-FR"/>
        </w:rPr>
        <w:t xml:space="preserve">t les </w:t>
      </w:r>
      <w:r w:rsidR="00AE7935" w:rsidRPr="00B94E33">
        <w:rPr>
          <w:lang w:val="fr-FR"/>
        </w:rPr>
        <w:t xml:space="preserve">allégations </w:t>
      </w:r>
      <w:r w:rsidRPr="00B94E33">
        <w:rPr>
          <w:lang w:val="fr-FR"/>
        </w:rPr>
        <w:t xml:space="preserve">de maltraitance </w:t>
      </w:r>
      <w:r w:rsidR="00EB0008" w:rsidRPr="00B94E33">
        <w:rPr>
          <w:lang w:val="fr-FR"/>
        </w:rPr>
        <w:t>familiale</w:t>
      </w:r>
      <w:r w:rsidRPr="00B94E33">
        <w:rPr>
          <w:lang w:val="fr-FR"/>
        </w:rPr>
        <w:t xml:space="preserve"> et </w:t>
      </w:r>
      <w:r w:rsidR="00EB0008" w:rsidRPr="00B94E33">
        <w:rPr>
          <w:lang w:val="fr-FR"/>
        </w:rPr>
        <w:t xml:space="preserve">de </w:t>
      </w:r>
      <w:r w:rsidRPr="00B94E33">
        <w:rPr>
          <w:lang w:val="fr-FR"/>
        </w:rPr>
        <w:t>menace</w:t>
      </w:r>
      <w:r w:rsidR="00EB0008" w:rsidRPr="00B94E33">
        <w:rPr>
          <w:lang w:val="fr-FR"/>
        </w:rPr>
        <w:t>s</w:t>
      </w:r>
      <w:r w:rsidRPr="00B94E33">
        <w:rPr>
          <w:lang w:val="fr-FR"/>
        </w:rPr>
        <w:t xml:space="preserve">. </w:t>
      </w:r>
      <w:r w:rsidR="000310CA" w:rsidRPr="00B94E33">
        <w:rPr>
          <w:lang w:val="fr-FR"/>
        </w:rPr>
        <w:t>Il</w:t>
      </w:r>
      <w:r w:rsidRPr="00B94E33">
        <w:rPr>
          <w:lang w:val="fr-FR"/>
        </w:rPr>
        <w:t xml:space="preserve"> </w:t>
      </w:r>
      <w:r w:rsidR="00EB0008" w:rsidRPr="00B94E33">
        <w:rPr>
          <w:lang w:val="fr-FR"/>
        </w:rPr>
        <w:t xml:space="preserve">considéra que le </w:t>
      </w:r>
      <w:r w:rsidRPr="00B94E33">
        <w:rPr>
          <w:lang w:val="fr-FR"/>
        </w:rPr>
        <w:t xml:space="preserve">déroulement des faits </w:t>
      </w:r>
      <w:r w:rsidR="00EB0008" w:rsidRPr="00B94E33">
        <w:rPr>
          <w:lang w:val="fr-FR"/>
        </w:rPr>
        <w:t xml:space="preserve">était incertain </w:t>
      </w:r>
      <w:r w:rsidRPr="00B94E33">
        <w:rPr>
          <w:lang w:val="fr-FR"/>
        </w:rPr>
        <w:t>et que</w:t>
      </w:r>
      <w:r w:rsidR="00EB0008" w:rsidRPr="00B94E33">
        <w:rPr>
          <w:lang w:val="fr-FR"/>
        </w:rPr>
        <w:t>,</w:t>
      </w:r>
      <w:r w:rsidRPr="00B94E33">
        <w:rPr>
          <w:lang w:val="fr-FR"/>
        </w:rPr>
        <w:t xml:space="preserve"> s</w:t>
      </w:r>
      <w:r w:rsidR="00B94E33" w:rsidRPr="00B94E33">
        <w:rPr>
          <w:lang w:val="fr-FR"/>
        </w:rPr>
        <w:t>’</w:t>
      </w:r>
      <w:r w:rsidRPr="00B94E33">
        <w:rPr>
          <w:lang w:val="fr-FR"/>
        </w:rPr>
        <w:t xml:space="preserve">agissant </w:t>
      </w:r>
      <w:r w:rsidR="000310CA" w:rsidRPr="00B94E33">
        <w:rPr>
          <w:lang w:val="fr-FR"/>
        </w:rPr>
        <w:t>de la</w:t>
      </w:r>
      <w:r w:rsidRPr="00B94E33">
        <w:rPr>
          <w:lang w:val="fr-FR"/>
        </w:rPr>
        <w:t xml:space="preserve"> maltraitance</w:t>
      </w:r>
      <w:r w:rsidR="000310CA" w:rsidRPr="00B94E33">
        <w:rPr>
          <w:lang w:val="fr-FR"/>
        </w:rPr>
        <w:t xml:space="preserve"> alléguée</w:t>
      </w:r>
      <w:r w:rsidR="00EB0008" w:rsidRPr="00B94E33">
        <w:rPr>
          <w:lang w:val="fr-FR"/>
        </w:rPr>
        <w:t>,</w:t>
      </w:r>
      <w:r w:rsidRPr="00B94E33">
        <w:rPr>
          <w:lang w:val="fr-FR"/>
        </w:rPr>
        <w:t xml:space="preserve"> </w:t>
      </w:r>
      <w:r w:rsidR="00D522EF" w:rsidRPr="00B94E33">
        <w:rPr>
          <w:lang w:val="fr-FR"/>
        </w:rPr>
        <w:t>un tel délit</w:t>
      </w:r>
      <w:r w:rsidR="002B2E9D" w:rsidRPr="00B94E33">
        <w:rPr>
          <w:lang w:val="fr-FR"/>
        </w:rPr>
        <w:t xml:space="preserve"> ne pouvait être qualifié </w:t>
      </w:r>
      <w:r w:rsidR="000310CA" w:rsidRPr="00B94E33">
        <w:rPr>
          <w:lang w:val="fr-FR"/>
        </w:rPr>
        <w:t>au motif que,</w:t>
      </w:r>
      <w:r w:rsidR="002B2E9D" w:rsidRPr="00B94E33">
        <w:rPr>
          <w:lang w:val="fr-FR"/>
        </w:rPr>
        <w:t xml:space="preserve"> </w:t>
      </w:r>
      <w:r w:rsidR="00EB0008" w:rsidRPr="00B94E33">
        <w:rPr>
          <w:lang w:val="fr-FR"/>
        </w:rPr>
        <w:t xml:space="preserve">la requérante </w:t>
      </w:r>
      <w:r w:rsidR="002B2E9D" w:rsidRPr="00B94E33">
        <w:rPr>
          <w:lang w:val="fr-FR"/>
        </w:rPr>
        <w:t>ayant</w:t>
      </w:r>
      <w:r w:rsidR="00EB0008" w:rsidRPr="00B94E33">
        <w:rPr>
          <w:lang w:val="fr-FR"/>
        </w:rPr>
        <w:t xml:space="preserve"> dénoncé </w:t>
      </w:r>
      <w:r w:rsidR="000310CA" w:rsidRPr="00B94E33">
        <w:rPr>
          <w:lang w:val="fr-FR"/>
        </w:rPr>
        <w:t>seulement</w:t>
      </w:r>
      <w:r w:rsidR="00EB0008" w:rsidRPr="00B94E33">
        <w:rPr>
          <w:lang w:val="fr-FR"/>
        </w:rPr>
        <w:t xml:space="preserve"> l</w:t>
      </w:r>
      <w:r w:rsidR="00B94E33" w:rsidRPr="00B94E33">
        <w:rPr>
          <w:lang w:val="fr-FR"/>
        </w:rPr>
        <w:t>’</w:t>
      </w:r>
      <w:r w:rsidR="00EB0008" w:rsidRPr="00B94E33">
        <w:rPr>
          <w:lang w:val="fr-FR"/>
        </w:rPr>
        <w:t>incident du mois d</w:t>
      </w:r>
      <w:r w:rsidR="00B94E33" w:rsidRPr="00B94E33">
        <w:rPr>
          <w:lang w:val="fr-FR"/>
        </w:rPr>
        <w:t>’</w:t>
      </w:r>
      <w:r w:rsidR="00EB0008" w:rsidRPr="00B94E33">
        <w:rPr>
          <w:lang w:val="fr-FR"/>
        </w:rPr>
        <w:t>août 2012</w:t>
      </w:r>
      <w:r w:rsidR="002B2E9D" w:rsidRPr="00B94E33">
        <w:rPr>
          <w:lang w:val="fr-FR"/>
        </w:rPr>
        <w:t>,</w:t>
      </w:r>
      <w:r w:rsidR="00C97C47" w:rsidRPr="00B94E33">
        <w:rPr>
          <w:lang w:val="fr-FR"/>
        </w:rPr>
        <w:t xml:space="preserve"> </w:t>
      </w:r>
      <w:r w:rsidR="00EB0008" w:rsidRPr="00B94E33">
        <w:rPr>
          <w:lang w:val="fr-FR"/>
        </w:rPr>
        <w:t>le critère de la répétition des épisodes de violence</w:t>
      </w:r>
      <w:r w:rsidR="000310CA" w:rsidRPr="00B94E33">
        <w:rPr>
          <w:lang w:val="fr-FR"/>
        </w:rPr>
        <w:t>s</w:t>
      </w:r>
      <w:r w:rsidR="002B2E9D" w:rsidRPr="00B94E33">
        <w:rPr>
          <w:lang w:val="fr-FR"/>
        </w:rPr>
        <w:t xml:space="preserve"> </w:t>
      </w:r>
      <w:r w:rsidR="00EB0008" w:rsidRPr="00B94E33">
        <w:rPr>
          <w:lang w:val="fr-FR"/>
        </w:rPr>
        <w:t>n</w:t>
      </w:r>
      <w:r w:rsidR="00B94E33" w:rsidRPr="00B94E33">
        <w:rPr>
          <w:lang w:val="fr-FR"/>
        </w:rPr>
        <w:t>’</w:t>
      </w:r>
      <w:r w:rsidR="00EB0008" w:rsidRPr="00B94E33">
        <w:rPr>
          <w:lang w:val="fr-FR"/>
        </w:rPr>
        <w:t>était pas rempli</w:t>
      </w:r>
      <w:r w:rsidRPr="00B94E33">
        <w:rPr>
          <w:lang w:val="fr-FR"/>
        </w:rPr>
        <w:t>.</w:t>
      </w:r>
    </w:p>
    <w:p w:rsidR="00EF4E78" w:rsidRPr="00B94E33" w:rsidRDefault="00E943A9"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34</w:t>
      </w:r>
      <w:r w:rsidRPr="00B94E33">
        <w:rPr>
          <w:lang w:val="fr-FR"/>
        </w:rPr>
        <w:fldChar w:fldCharType="end"/>
      </w:r>
      <w:r w:rsidRPr="00B94E33">
        <w:rPr>
          <w:lang w:val="fr-FR"/>
        </w:rPr>
        <w:t>.  </w:t>
      </w:r>
      <w:r w:rsidR="00D522EF" w:rsidRPr="00B94E33">
        <w:rPr>
          <w:lang w:val="fr-FR"/>
        </w:rPr>
        <w:t>C</w:t>
      </w:r>
      <w:r w:rsidR="001173C2" w:rsidRPr="00B94E33">
        <w:rPr>
          <w:lang w:val="fr-FR"/>
        </w:rPr>
        <w:t xml:space="preserve">oncernant </w:t>
      </w:r>
      <w:r w:rsidR="00AE7935" w:rsidRPr="00B94E33">
        <w:rPr>
          <w:lang w:val="fr-FR"/>
        </w:rPr>
        <w:t>le grief</w:t>
      </w:r>
      <w:r w:rsidRPr="00B94E33">
        <w:rPr>
          <w:lang w:val="fr-FR"/>
        </w:rPr>
        <w:t xml:space="preserve"> de menace</w:t>
      </w:r>
      <w:r w:rsidR="00BD4478" w:rsidRPr="00B94E33">
        <w:rPr>
          <w:lang w:val="fr-FR"/>
        </w:rPr>
        <w:t>s</w:t>
      </w:r>
      <w:r w:rsidRPr="00B94E33">
        <w:rPr>
          <w:lang w:val="fr-FR"/>
        </w:rPr>
        <w:t xml:space="preserve"> aggravé</w:t>
      </w:r>
      <w:r w:rsidR="001173C2" w:rsidRPr="00B94E33">
        <w:rPr>
          <w:lang w:val="fr-FR"/>
        </w:rPr>
        <w:t>es</w:t>
      </w:r>
      <w:r w:rsidRPr="00B94E33">
        <w:rPr>
          <w:lang w:val="fr-FR"/>
        </w:rPr>
        <w:t xml:space="preserve"> par l</w:t>
      </w:r>
      <w:r w:rsidR="00B94E33" w:rsidRPr="00B94E33">
        <w:rPr>
          <w:lang w:val="fr-FR"/>
        </w:rPr>
        <w:t>’</w:t>
      </w:r>
      <w:r w:rsidRPr="00B94E33">
        <w:rPr>
          <w:lang w:val="fr-FR"/>
        </w:rPr>
        <w:t>utilisation d</w:t>
      </w:r>
      <w:r w:rsidR="00B94E33" w:rsidRPr="00B94E33">
        <w:rPr>
          <w:lang w:val="fr-FR"/>
        </w:rPr>
        <w:t>’</w:t>
      </w:r>
      <w:r w:rsidRPr="00B94E33">
        <w:rPr>
          <w:lang w:val="fr-FR"/>
        </w:rPr>
        <w:t>une arme</w:t>
      </w:r>
      <w:r w:rsidR="00D522EF" w:rsidRPr="00B94E33">
        <w:rPr>
          <w:lang w:val="fr-FR"/>
        </w:rPr>
        <w:t>, le GIP releva que</w:t>
      </w:r>
      <w:r w:rsidRPr="00B94E33">
        <w:rPr>
          <w:lang w:val="fr-FR"/>
        </w:rPr>
        <w:t xml:space="preserve"> les déclarations de la requérante étaient contradictoires et</w:t>
      </w:r>
      <w:r w:rsidR="001173C2" w:rsidRPr="00B94E33">
        <w:rPr>
          <w:lang w:val="fr-FR"/>
        </w:rPr>
        <w:t xml:space="preserve"> que,</w:t>
      </w:r>
      <w:r w:rsidRPr="00B94E33">
        <w:rPr>
          <w:lang w:val="fr-FR"/>
        </w:rPr>
        <w:t xml:space="preserve"> dans </w:t>
      </w:r>
      <w:r w:rsidR="00C97C47" w:rsidRPr="00B94E33">
        <w:rPr>
          <w:lang w:val="fr-FR"/>
        </w:rPr>
        <w:t>le rapport établi par</w:t>
      </w:r>
      <w:r w:rsidRPr="00B94E33">
        <w:rPr>
          <w:lang w:val="fr-FR"/>
        </w:rPr>
        <w:t xml:space="preserve"> l</w:t>
      </w:r>
      <w:r w:rsidR="00B94E33" w:rsidRPr="00B94E33">
        <w:rPr>
          <w:lang w:val="fr-FR"/>
        </w:rPr>
        <w:t>’</w:t>
      </w:r>
      <w:r w:rsidRPr="00B94E33">
        <w:rPr>
          <w:lang w:val="fr-FR"/>
        </w:rPr>
        <w:t>hôpital</w:t>
      </w:r>
      <w:r w:rsidR="00C97C47" w:rsidRPr="00B94E33">
        <w:rPr>
          <w:lang w:val="fr-FR"/>
        </w:rPr>
        <w:t>,</w:t>
      </w:r>
      <w:r w:rsidRPr="00B94E33">
        <w:rPr>
          <w:lang w:val="fr-FR"/>
        </w:rPr>
        <w:t xml:space="preserve"> il </w:t>
      </w:r>
      <w:r w:rsidR="00AD268D" w:rsidRPr="00B94E33">
        <w:rPr>
          <w:lang w:val="fr-FR"/>
        </w:rPr>
        <w:t>n</w:t>
      </w:r>
      <w:r w:rsidR="00B94E33" w:rsidRPr="00B94E33">
        <w:rPr>
          <w:lang w:val="fr-FR"/>
        </w:rPr>
        <w:t>’</w:t>
      </w:r>
      <w:r w:rsidR="00AD268D" w:rsidRPr="00B94E33">
        <w:rPr>
          <w:lang w:val="fr-FR"/>
        </w:rPr>
        <w:t>y</w:t>
      </w:r>
      <w:r w:rsidRPr="00B94E33">
        <w:rPr>
          <w:lang w:val="fr-FR"/>
        </w:rPr>
        <w:t xml:space="preserve"> avait aucune référence </w:t>
      </w:r>
      <w:r w:rsidR="001173C2" w:rsidRPr="00B94E33">
        <w:rPr>
          <w:lang w:val="fr-FR"/>
        </w:rPr>
        <w:t xml:space="preserve">à des </w:t>
      </w:r>
      <w:r w:rsidRPr="00B94E33">
        <w:rPr>
          <w:lang w:val="fr-FR"/>
        </w:rPr>
        <w:t xml:space="preserve">blessures </w:t>
      </w:r>
      <w:r w:rsidR="001173C2" w:rsidRPr="00B94E33">
        <w:rPr>
          <w:lang w:val="fr-FR"/>
        </w:rPr>
        <w:t>causées par</w:t>
      </w:r>
      <w:r w:rsidRPr="00B94E33">
        <w:rPr>
          <w:lang w:val="fr-FR"/>
        </w:rPr>
        <w:t xml:space="preserve"> </w:t>
      </w:r>
      <w:r w:rsidR="001173C2" w:rsidRPr="00B94E33">
        <w:rPr>
          <w:lang w:val="fr-FR"/>
        </w:rPr>
        <w:t xml:space="preserve">un </w:t>
      </w:r>
      <w:r w:rsidRPr="00B94E33">
        <w:rPr>
          <w:lang w:val="fr-FR"/>
        </w:rPr>
        <w:t>couteau.</w:t>
      </w:r>
    </w:p>
    <w:bookmarkStart w:id="9" w:name="para35"/>
    <w:p w:rsidR="00E943A9" w:rsidRPr="00B94E33" w:rsidRDefault="00E943A9"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35</w:t>
      </w:r>
      <w:r w:rsidRPr="00B94E33">
        <w:rPr>
          <w:lang w:val="fr-FR"/>
        </w:rPr>
        <w:fldChar w:fldCharType="end"/>
      </w:r>
      <w:r w:rsidRPr="00B94E33">
        <w:rPr>
          <w:lang w:val="fr-FR"/>
        </w:rPr>
        <w:t>.</w:t>
      </w:r>
      <w:bookmarkEnd w:id="9"/>
      <w:r w:rsidRPr="00B94E33">
        <w:rPr>
          <w:lang w:val="fr-FR"/>
        </w:rPr>
        <w:t xml:space="preserve">  Quant au délit de </w:t>
      </w:r>
      <w:r w:rsidR="00C5643E" w:rsidRPr="00B94E33">
        <w:rPr>
          <w:lang w:val="fr-FR"/>
        </w:rPr>
        <w:t>lésions corporelles</w:t>
      </w:r>
      <w:r w:rsidRPr="00B94E33">
        <w:rPr>
          <w:lang w:val="fr-FR"/>
        </w:rPr>
        <w:t xml:space="preserve">, la procédure </w:t>
      </w:r>
      <w:r w:rsidR="00AE7935" w:rsidRPr="00B94E33">
        <w:rPr>
          <w:lang w:val="fr-FR"/>
        </w:rPr>
        <w:t xml:space="preserve">se poursuivit </w:t>
      </w:r>
      <w:r w:rsidRPr="00B94E33">
        <w:rPr>
          <w:lang w:val="fr-FR"/>
        </w:rPr>
        <w:t>devant le juge de paix. A.T. fut renvoyé en jugement le 28 octobre 2013</w:t>
      </w:r>
      <w:r w:rsidR="000C5A6B" w:rsidRPr="00B94E33">
        <w:rPr>
          <w:lang w:val="fr-FR"/>
        </w:rPr>
        <w:t>.</w:t>
      </w:r>
      <w:r w:rsidRPr="00B94E33">
        <w:rPr>
          <w:lang w:val="fr-FR"/>
        </w:rPr>
        <w:t xml:space="preserve"> </w:t>
      </w:r>
      <w:r w:rsidR="000C5A6B" w:rsidRPr="00B94E33">
        <w:rPr>
          <w:lang w:val="fr-FR"/>
        </w:rPr>
        <w:t>L</w:t>
      </w:r>
      <w:r w:rsidRPr="00B94E33">
        <w:rPr>
          <w:lang w:val="fr-FR"/>
        </w:rPr>
        <w:t>a première audience eu</w:t>
      </w:r>
      <w:r w:rsidR="00D522EF" w:rsidRPr="00B94E33">
        <w:rPr>
          <w:lang w:val="fr-FR"/>
        </w:rPr>
        <w:t>t</w:t>
      </w:r>
      <w:r w:rsidRPr="00B94E33">
        <w:rPr>
          <w:lang w:val="fr-FR"/>
        </w:rPr>
        <w:t xml:space="preserve"> lieu le 13 février 2014 et </w:t>
      </w:r>
      <w:r w:rsidR="000C5A6B" w:rsidRPr="00B94E33">
        <w:rPr>
          <w:lang w:val="fr-FR"/>
        </w:rPr>
        <w:t xml:space="preserve">A.T. </w:t>
      </w:r>
      <w:r w:rsidRPr="00B94E33">
        <w:rPr>
          <w:lang w:val="fr-FR"/>
        </w:rPr>
        <w:t>fut condamné à payer une amende de 2</w:t>
      </w:r>
      <w:r w:rsidR="000310CA" w:rsidRPr="00B94E33">
        <w:rPr>
          <w:lang w:val="fr-FR"/>
        </w:rPr>
        <w:t> </w:t>
      </w:r>
      <w:r w:rsidRPr="00B94E33">
        <w:rPr>
          <w:lang w:val="fr-FR"/>
        </w:rPr>
        <w:t>000</w:t>
      </w:r>
      <w:r w:rsidR="000C5A6B" w:rsidRPr="00B94E33">
        <w:rPr>
          <w:lang w:val="fr-FR"/>
        </w:rPr>
        <w:t> </w:t>
      </w:r>
      <w:r w:rsidRPr="00B94E33">
        <w:rPr>
          <w:lang w:val="fr-FR"/>
        </w:rPr>
        <w:t xml:space="preserve">euros </w:t>
      </w:r>
      <w:r w:rsidR="000C5A6B" w:rsidRPr="00B94E33">
        <w:rPr>
          <w:lang w:val="fr-FR"/>
        </w:rPr>
        <w:t xml:space="preserve">(EUR) </w:t>
      </w:r>
      <w:r w:rsidRPr="00B94E33">
        <w:rPr>
          <w:lang w:val="fr-FR"/>
        </w:rPr>
        <w:t xml:space="preserve">le </w:t>
      </w:r>
      <w:r w:rsidR="00715896" w:rsidRPr="00B94E33">
        <w:rPr>
          <w:lang w:val="fr-FR"/>
        </w:rPr>
        <w:t>1</w:t>
      </w:r>
      <w:r w:rsidR="00715896" w:rsidRPr="00B94E33">
        <w:rPr>
          <w:vertAlign w:val="superscript"/>
          <w:lang w:val="fr-FR"/>
        </w:rPr>
        <w:t>er</w:t>
      </w:r>
      <w:r w:rsidR="00715896" w:rsidRPr="00B94E33">
        <w:rPr>
          <w:lang w:val="fr-FR"/>
        </w:rPr>
        <w:t xml:space="preserve"> octobre 2015.</w:t>
      </w:r>
    </w:p>
    <w:p w:rsidR="00E943A9" w:rsidRPr="00B94E33" w:rsidRDefault="00971F5F" w:rsidP="00B94E33">
      <w:pPr>
        <w:pStyle w:val="ECHRHeading2"/>
        <w:rPr>
          <w:lang w:val="fr-FR"/>
        </w:rPr>
      </w:pPr>
      <w:r w:rsidRPr="00B94E33">
        <w:rPr>
          <w:lang w:val="fr-FR"/>
        </w:rPr>
        <w:t>4</w:t>
      </w:r>
      <w:r w:rsidR="00E943A9" w:rsidRPr="00B94E33">
        <w:rPr>
          <w:lang w:val="fr-FR"/>
        </w:rPr>
        <w:t>.</w:t>
      </w:r>
      <w:r w:rsidR="000C5A6B" w:rsidRPr="00B94E33">
        <w:rPr>
          <w:lang w:val="fr-FR"/>
        </w:rPr>
        <w:t>  La t</w:t>
      </w:r>
      <w:r w:rsidR="00E943A9" w:rsidRPr="00B94E33">
        <w:rPr>
          <w:lang w:val="fr-FR"/>
        </w:rPr>
        <w:t>roisième agression commise par A.T. sur la requérante et son fils et le meurtre commis par A.T. sur la personne de son fils</w:t>
      </w:r>
    </w:p>
    <w:p w:rsidR="00E943A9" w:rsidRPr="00B94E33" w:rsidRDefault="00E943A9"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36</w:t>
      </w:r>
      <w:r w:rsidRPr="00B94E33">
        <w:rPr>
          <w:lang w:val="fr-FR"/>
        </w:rPr>
        <w:fldChar w:fldCharType="end"/>
      </w:r>
      <w:r w:rsidRPr="00B94E33">
        <w:rPr>
          <w:lang w:val="fr-FR"/>
        </w:rPr>
        <w:t>.  Il ressort du dossier que</w:t>
      </w:r>
      <w:r w:rsidR="000C5A6B" w:rsidRPr="00B94E33">
        <w:rPr>
          <w:lang w:val="fr-FR"/>
        </w:rPr>
        <w:t>,</w:t>
      </w:r>
      <w:r w:rsidRPr="00B94E33">
        <w:rPr>
          <w:lang w:val="fr-FR"/>
        </w:rPr>
        <w:t xml:space="preserve"> le 18 novembre </w:t>
      </w:r>
      <w:r w:rsidR="00467E5C" w:rsidRPr="00B94E33">
        <w:rPr>
          <w:lang w:val="fr-FR"/>
        </w:rPr>
        <w:t>2013</w:t>
      </w:r>
      <w:r w:rsidRPr="00B94E33">
        <w:rPr>
          <w:lang w:val="fr-FR"/>
        </w:rPr>
        <w:t xml:space="preserve">, A.T. </w:t>
      </w:r>
      <w:r w:rsidR="00C73681" w:rsidRPr="00B94E33">
        <w:rPr>
          <w:lang w:val="fr-FR"/>
        </w:rPr>
        <w:t xml:space="preserve">a </w:t>
      </w:r>
      <w:r w:rsidRPr="00B94E33">
        <w:rPr>
          <w:lang w:val="fr-FR"/>
        </w:rPr>
        <w:t xml:space="preserve">reçu la notification de son renvoi en jugement devant le juge de paix le 19 mai 2014 pour le délit de </w:t>
      </w:r>
      <w:r w:rsidR="00C5643E" w:rsidRPr="00B94E33">
        <w:rPr>
          <w:lang w:val="fr-FR"/>
        </w:rPr>
        <w:t>lésions corporelles</w:t>
      </w:r>
      <w:r w:rsidR="000C5A6B" w:rsidRPr="00B94E33">
        <w:rPr>
          <w:lang w:val="fr-FR"/>
        </w:rPr>
        <w:t xml:space="preserve"> </w:t>
      </w:r>
      <w:r w:rsidRPr="00B94E33">
        <w:rPr>
          <w:lang w:val="fr-FR"/>
        </w:rPr>
        <w:t>concernant l</w:t>
      </w:r>
      <w:r w:rsidR="00B94E33" w:rsidRPr="00B94E33">
        <w:rPr>
          <w:lang w:val="fr-FR"/>
        </w:rPr>
        <w:t>’</w:t>
      </w:r>
      <w:r w:rsidRPr="00B94E33">
        <w:rPr>
          <w:lang w:val="fr-FR"/>
        </w:rPr>
        <w:t xml:space="preserve">agression </w:t>
      </w:r>
      <w:r w:rsidR="00AE7935" w:rsidRPr="00B94E33">
        <w:rPr>
          <w:lang w:val="fr-FR"/>
        </w:rPr>
        <w:t>contre</w:t>
      </w:r>
      <w:r w:rsidR="00C73681" w:rsidRPr="00B94E33">
        <w:rPr>
          <w:lang w:val="fr-FR"/>
        </w:rPr>
        <w:t xml:space="preserve"> la requérante </w:t>
      </w:r>
      <w:r w:rsidR="007D5CEE" w:rsidRPr="00B94E33">
        <w:rPr>
          <w:lang w:val="fr-FR"/>
        </w:rPr>
        <w:t>du mois d</w:t>
      </w:r>
      <w:r w:rsidR="00B94E33" w:rsidRPr="00B94E33">
        <w:rPr>
          <w:lang w:val="fr-FR"/>
        </w:rPr>
        <w:t>’</w:t>
      </w:r>
      <w:r w:rsidR="007D5CEE" w:rsidRPr="00B94E33">
        <w:rPr>
          <w:lang w:val="fr-FR"/>
        </w:rPr>
        <w:t>août 2012</w:t>
      </w:r>
      <w:r w:rsidRPr="00B94E33">
        <w:rPr>
          <w:lang w:val="fr-FR"/>
        </w:rPr>
        <w:t>.</w:t>
      </w:r>
    </w:p>
    <w:p w:rsidR="00EF4E78" w:rsidRPr="00B94E33" w:rsidRDefault="00E943A9" w:rsidP="00B94E33">
      <w:pPr>
        <w:pStyle w:val="ECHRPara"/>
        <w:rPr>
          <w:lang w:val="fr-FR"/>
        </w:rPr>
      </w:pPr>
      <w:r w:rsidRPr="00B94E33">
        <w:rPr>
          <w:lang w:val="fr-FR"/>
        </w:rPr>
        <w:lastRenderedPageBreak/>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37</w:t>
      </w:r>
      <w:r w:rsidRPr="00B94E33">
        <w:rPr>
          <w:lang w:val="fr-FR"/>
        </w:rPr>
        <w:fldChar w:fldCharType="end"/>
      </w:r>
      <w:r w:rsidRPr="00B94E33">
        <w:rPr>
          <w:lang w:val="fr-FR"/>
        </w:rPr>
        <w:t>.  Dans la nuit du 25 novembre 2013, la requérante demanda l</w:t>
      </w:r>
      <w:r w:rsidR="00B94E33" w:rsidRPr="00B94E33">
        <w:rPr>
          <w:lang w:val="fr-FR"/>
        </w:rPr>
        <w:t>’</w:t>
      </w:r>
      <w:r w:rsidRPr="00B94E33">
        <w:rPr>
          <w:lang w:val="fr-FR"/>
        </w:rPr>
        <w:t>intervention de</w:t>
      </w:r>
      <w:r w:rsidR="000C5A6B" w:rsidRPr="00B94E33">
        <w:rPr>
          <w:lang w:val="fr-FR"/>
        </w:rPr>
        <w:t>s</w:t>
      </w:r>
      <w:r w:rsidRPr="00B94E33">
        <w:rPr>
          <w:lang w:val="fr-FR"/>
        </w:rPr>
        <w:t xml:space="preserve"> gendarmes </w:t>
      </w:r>
      <w:r w:rsidR="000C5A6B" w:rsidRPr="00B94E33">
        <w:rPr>
          <w:lang w:val="fr-FR"/>
        </w:rPr>
        <w:t xml:space="preserve">en raison </w:t>
      </w:r>
      <w:r w:rsidRPr="00B94E33">
        <w:rPr>
          <w:lang w:val="fr-FR"/>
        </w:rPr>
        <w:t>d</w:t>
      </w:r>
      <w:r w:rsidR="00B94E33" w:rsidRPr="00B94E33">
        <w:rPr>
          <w:lang w:val="fr-FR"/>
        </w:rPr>
        <w:t>’</w:t>
      </w:r>
      <w:r w:rsidRPr="00B94E33">
        <w:rPr>
          <w:lang w:val="fr-FR"/>
        </w:rPr>
        <w:t>une dispute avec son mari.</w:t>
      </w:r>
    </w:p>
    <w:p w:rsidR="00E943A9" w:rsidRPr="00B94E33" w:rsidRDefault="00E943A9"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38</w:t>
      </w:r>
      <w:r w:rsidRPr="00B94E33">
        <w:rPr>
          <w:lang w:val="fr-FR"/>
        </w:rPr>
        <w:fldChar w:fldCharType="end"/>
      </w:r>
      <w:r w:rsidRPr="00B94E33">
        <w:rPr>
          <w:lang w:val="fr-FR"/>
        </w:rPr>
        <w:t>.  </w:t>
      </w:r>
      <w:r w:rsidR="00AE7935" w:rsidRPr="00B94E33">
        <w:rPr>
          <w:lang w:val="fr-FR"/>
        </w:rPr>
        <w:t>Dans leur</w:t>
      </w:r>
      <w:r w:rsidRPr="00B94E33">
        <w:rPr>
          <w:lang w:val="fr-FR"/>
        </w:rPr>
        <w:t xml:space="preserve"> compte rendu</w:t>
      </w:r>
      <w:r w:rsidR="00AE7935" w:rsidRPr="00B94E33">
        <w:rPr>
          <w:lang w:val="fr-FR"/>
        </w:rPr>
        <w:t>,</w:t>
      </w:r>
      <w:r w:rsidRPr="00B94E33">
        <w:rPr>
          <w:lang w:val="fr-FR"/>
        </w:rPr>
        <w:t xml:space="preserve"> </w:t>
      </w:r>
      <w:r w:rsidR="00AE7935" w:rsidRPr="00B94E33">
        <w:rPr>
          <w:lang w:val="fr-FR"/>
        </w:rPr>
        <w:t>l</w:t>
      </w:r>
      <w:r w:rsidRPr="00B94E33">
        <w:rPr>
          <w:lang w:val="fr-FR"/>
        </w:rPr>
        <w:t xml:space="preserve">es gendarmes </w:t>
      </w:r>
      <w:r w:rsidR="007D5CEE" w:rsidRPr="00B94E33">
        <w:rPr>
          <w:lang w:val="fr-FR"/>
        </w:rPr>
        <w:t>faisai</w:t>
      </w:r>
      <w:r w:rsidR="00AE7935" w:rsidRPr="00B94E33">
        <w:rPr>
          <w:lang w:val="fr-FR"/>
        </w:rPr>
        <w:t>en</w:t>
      </w:r>
      <w:r w:rsidR="007D5CEE" w:rsidRPr="00B94E33">
        <w:rPr>
          <w:lang w:val="fr-FR"/>
        </w:rPr>
        <w:t xml:space="preserve">t les constatations suivantes : </w:t>
      </w:r>
      <w:r w:rsidR="002E19CC" w:rsidRPr="00B94E33">
        <w:rPr>
          <w:lang w:val="fr-FR"/>
        </w:rPr>
        <w:t>à</w:t>
      </w:r>
      <w:r w:rsidRPr="00B94E33">
        <w:rPr>
          <w:lang w:val="fr-FR"/>
        </w:rPr>
        <w:t xml:space="preserve"> leur arrivé</w:t>
      </w:r>
      <w:r w:rsidR="00B30224" w:rsidRPr="00B94E33">
        <w:rPr>
          <w:lang w:val="fr-FR"/>
        </w:rPr>
        <w:t xml:space="preserve">e, </w:t>
      </w:r>
      <w:r w:rsidR="00AE7935" w:rsidRPr="00B94E33">
        <w:rPr>
          <w:lang w:val="fr-FR"/>
        </w:rPr>
        <w:t>ils</w:t>
      </w:r>
      <w:r w:rsidR="002E19CC" w:rsidRPr="00B94E33">
        <w:rPr>
          <w:lang w:val="fr-FR"/>
        </w:rPr>
        <w:t xml:space="preserve"> </w:t>
      </w:r>
      <w:r w:rsidR="00B30224" w:rsidRPr="00B94E33">
        <w:rPr>
          <w:lang w:val="fr-FR"/>
        </w:rPr>
        <w:t xml:space="preserve">avaient trouvé la porte </w:t>
      </w:r>
      <w:r w:rsidRPr="00B94E33">
        <w:rPr>
          <w:lang w:val="fr-FR"/>
        </w:rPr>
        <w:t xml:space="preserve">de la chambre à coucher cassée et </w:t>
      </w:r>
      <w:r w:rsidR="00C73681" w:rsidRPr="00B94E33">
        <w:rPr>
          <w:lang w:val="fr-FR"/>
        </w:rPr>
        <w:t xml:space="preserve">le sol jonché </w:t>
      </w:r>
      <w:r w:rsidR="00AD268D" w:rsidRPr="00B94E33">
        <w:rPr>
          <w:lang w:val="fr-FR"/>
        </w:rPr>
        <w:t>de bouteilles</w:t>
      </w:r>
      <w:r w:rsidRPr="00B94E33">
        <w:rPr>
          <w:lang w:val="fr-FR"/>
        </w:rPr>
        <w:t xml:space="preserve"> d</w:t>
      </w:r>
      <w:r w:rsidR="00B94E33" w:rsidRPr="00B94E33">
        <w:rPr>
          <w:lang w:val="fr-FR"/>
        </w:rPr>
        <w:t>’</w:t>
      </w:r>
      <w:r w:rsidRPr="00B94E33">
        <w:rPr>
          <w:lang w:val="fr-FR"/>
        </w:rPr>
        <w:t>alcool</w:t>
      </w:r>
      <w:r w:rsidR="002E19CC" w:rsidRPr="00B94E33">
        <w:rPr>
          <w:lang w:val="fr-FR"/>
        </w:rPr>
        <w:t> ;</w:t>
      </w:r>
      <w:r w:rsidRPr="00B94E33">
        <w:rPr>
          <w:lang w:val="fr-FR"/>
        </w:rPr>
        <w:t xml:space="preserve"> </w:t>
      </w:r>
      <w:r w:rsidR="002E19CC" w:rsidRPr="00B94E33">
        <w:rPr>
          <w:lang w:val="fr-FR"/>
        </w:rPr>
        <w:t>l</w:t>
      </w:r>
      <w:r w:rsidRPr="00B94E33">
        <w:rPr>
          <w:lang w:val="fr-FR"/>
        </w:rPr>
        <w:t>a requérante avait affirmé que son mari était</w:t>
      </w:r>
      <w:r w:rsidR="00715896" w:rsidRPr="00B94E33">
        <w:rPr>
          <w:lang w:val="fr-FR"/>
        </w:rPr>
        <w:t xml:space="preserve"> sous l</w:t>
      </w:r>
      <w:r w:rsidR="00B94E33" w:rsidRPr="00B94E33">
        <w:rPr>
          <w:lang w:val="fr-FR"/>
        </w:rPr>
        <w:t>’</w:t>
      </w:r>
      <w:r w:rsidR="00715896" w:rsidRPr="00B94E33">
        <w:rPr>
          <w:lang w:val="fr-FR"/>
        </w:rPr>
        <w:t>emprise d</w:t>
      </w:r>
      <w:r w:rsidR="002E19CC" w:rsidRPr="00B94E33">
        <w:rPr>
          <w:lang w:val="fr-FR"/>
        </w:rPr>
        <w:t>e l</w:t>
      </w:r>
      <w:r w:rsidR="00B94E33" w:rsidRPr="00B94E33">
        <w:rPr>
          <w:lang w:val="fr-FR"/>
        </w:rPr>
        <w:t>’</w:t>
      </w:r>
      <w:r w:rsidR="00715896" w:rsidRPr="00B94E33">
        <w:rPr>
          <w:lang w:val="fr-FR"/>
        </w:rPr>
        <w:t>alcool et qu</w:t>
      </w:r>
      <w:r w:rsidR="00B94E33" w:rsidRPr="00B94E33">
        <w:rPr>
          <w:lang w:val="fr-FR"/>
        </w:rPr>
        <w:t>’</w:t>
      </w:r>
      <w:r w:rsidRPr="00B94E33">
        <w:rPr>
          <w:lang w:val="fr-FR"/>
        </w:rPr>
        <w:t xml:space="preserve">elle avait </w:t>
      </w:r>
      <w:r w:rsidR="002E19CC" w:rsidRPr="00B94E33">
        <w:rPr>
          <w:lang w:val="fr-FR"/>
        </w:rPr>
        <w:t>décidé d</w:t>
      </w:r>
      <w:r w:rsidR="00B94E33" w:rsidRPr="00B94E33">
        <w:rPr>
          <w:lang w:val="fr-FR"/>
        </w:rPr>
        <w:t>’</w:t>
      </w:r>
      <w:r w:rsidR="002E19CC" w:rsidRPr="00B94E33">
        <w:rPr>
          <w:lang w:val="fr-FR"/>
        </w:rPr>
        <w:t>appeler de</w:t>
      </w:r>
      <w:r w:rsidRPr="00B94E33">
        <w:rPr>
          <w:lang w:val="fr-FR"/>
        </w:rPr>
        <w:t xml:space="preserve"> l</w:t>
      </w:r>
      <w:r w:rsidR="00B94E33" w:rsidRPr="00B94E33">
        <w:rPr>
          <w:lang w:val="fr-FR"/>
        </w:rPr>
        <w:t>’</w:t>
      </w:r>
      <w:r w:rsidRPr="00B94E33">
        <w:rPr>
          <w:lang w:val="fr-FR"/>
        </w:rPr>
        <w:t>aide parce qu</w:t>
      </w:r>
      <w:r w:rsidR="00B94E33" w:rsidRPr="00B94E33">
        <w:rPr>
          <w:lang w:val="fr-FR"/>
        </w:rPr>
        <w:t>’</w:t>
      </w:r>
      <w:r w:rsidRPr="00B94E33">
        <w:rPr>
          <w:lang w:val="fr-FR"/>
        </w:rPr>
        <w:t>elle estimait qu</w:t>
      </w:r>
      <w:r w:rsidR="00B94E33" w:rsidRPr="00B94E33">
        <w:rPr>
          <w:lang w:val="fr-FR"/>
        </w:rPr>
        <w:t>’</w:t>
      </w:r>
      <w:r w:rsidR="00B30224" w:rsidRPr="00B94E33">
        <w:rPr>
          <w:lang w:val="fr-FR"/>
        </w:rPr>
        <w:t>il avait besoin d</w:t>
      </w:r>
      <w:r w:rsidR="00B94E33" w:rsidRPr="00B94E33">
        <w:rPr>
          <w:lang w:val="fr-FR"/>
        </w:rPr>
        <w:t>’</w:t>
      </w:r>
      <w:r w:rsidR="00B30224" w:rsidRPr="00B94E33">
        <w:rPr>
          <w:lang w:val="fr-FR"/>
        </w:rPr>
        <w:t>un médecin</w:t>
      </w:r>
      <w:r w:rsidR="002E19CC" w:rsidRPr="00B94E33">
        <w:rPr>
          <w:lang w:val="fr-FR"/>
        </w:rPr>
        <w:t> ;</w:t>
      </w:r>
      <w:r w:rsidR="00B30224" w:rsidRPr="00B94E33">
        <w:rPr>
          <w:lang w:val="fr-FR"/>
        </w:rPr>
        <w:t xml:space="preserve"> </w:t>
      </w:r>
      <w:r w:rsidR="002E19CC" w:rsidRPr="00B94E33">
        <w:rPr>
          <w:lang w:val="fr-FR"/>
        </w:rPr>
        <w:t xml:space="preserve">elle </w:t>
      </w:r>
      <w:r w:rsidR="00AE7935" w:rsidRPr="00B94E33">
        <w:rPr>
          <w:lang w:val="fr-FR"/>
        </w:rPr>
        <w:t xml:space="preserve">leur </w:t>
      </w:r>
      <w:r w:rsidR="002E19CC" w:rsidRPr="00B94E33">
        <w:rPr>
          <w:lang w:val="fr-FR"/>
        </w:rPr>
        <w:t>avait dit qu</w:t>
      </w:r>
      <w:r w:rsidR="00B94E33" w:rsidRPr="00B94E33">
        <w:rPr>
          <w:lang w:val="fr-FR"/>
        </w:rPr>
        <w:t>’</w:t>
      </w:r>
      <w:r w:rsidR="002E19CC" w:rsidRPr="00B94E33">
        <w:rPr>
          <w:lang w:val="fr-FR"/>
        </w:rPr>
        <w:t>elle</w:t>
      </w:r>
      <w:r w:rsidRPr="00B94E33">
        <w:rPr>
          <w:lang w:val="fr-FR"/>
        </w:rPr>
        <w:t xml:space="preserve"> avait déposé une plainte contre son mari</w:t>
      </w:r>
      <w:r w:rsidR="002E19CC" w:rsidRPr="00B94E33">
        <w:rPr>
          <w:lang w:val="fr-FR"/>
        </w:rPr>
        <w:t xml:space="preserve"> par le passé</w:t>
      </w:r>
      <w:r w:rsidRPr="00B94E33">
        <w:rPr>
          <w:lang w:val="fr-FR"/>
        </w:rPr>
        <w:t xml:space="preserve">, mais </w:t>
      </w:r>
      <w:r w:rsidR="002E19CC" w:rsidRPr="00B94E33">
        <w:rPr>
          <w:lang w:val="fr-FR"/>
        </w:rPr>
        <w:t>qu</w:t>
      </w:r>
      <w:r w:rsidR="00B94E33" w:rsidRPr="00B94E33">
        <w:rPr>
          <w:lang w:val="fr-FR"/>
        </w:rPr>
        <w:t>’</w:t>
      </w:r>
      <w:r w:rsidRPr="00B94E33">
        <w:rPr>
          <w:lang w:val="fr-FR"/>
        </w:rPr>
        <w:t xml:space="preserve">elle avait </w:t>
      </w:r>
      <w:r w:rsidR="002E19CC" w:rsidRPr="00B94E33">
        <w:rPr>
          <w:lang w:val="fr-FR"/>
        </w:rPr>
        <w:t xml:space="preserve">ensuite </w:t>
      </w:r>
      <w:r w:rsidRPr="00B94E33">
        <w:rPr>
          <w:lang w:val="fr-FR"/>
        </w:rPr>
        <w:t>modifié ses accusations</w:t>
      </w:r>
      <w:r w:rsidR="002E19CC" w:rsidRPr="00B94E33">
        <w:rPr>
          <w:lang w:val="fr-FR"/>
        </w:rPr>
        <w:t> ;</w:t>
      </w:r>
      <w:r w:rsidRPr="00B94E33">
        <w:rPr>
          <w:lang w:val="fr-FR"/>
        </w:rPr>
        <w:t xml:space="preserve"> </w:t>
      </w:r>
      <w:r w:rsidR="002E19CC" w:rsidRPr="00B94E33">
        <w:rPr>
          <w:lang w:val="fr-FR"/>
        </w:rPr>
        <w:t>l</w:t>
      </w:r>
      <w:r w:rsidRPr="00B94E33">
        <w:rPr>
          <w:lang w:val="fr-FR"/>
        </w:rPr>
        <w:t xml:space="preserve">e fils de la requérante avait </w:t>
      </w:r>
      <w:r w:rsidR="002E19CC" w:rsidRPr="00B94E33">
        <w:rPr>
          <w:lang w:val="fr-FR"/>
        </w:rPr>
        <w:t xml:space="preserve">déclaré </w:t>
      </w:r>
      <w:r w:rsidRPr="00B94E33">
        <w:rPr>
          <w:lang w:val="fr-FR"/>
        </w:rPr>
        <w:t>que son père n</w:t>
      </w:r>
      <w:r w:rsidR="00B94E33" w:rsidRPr="00B94E33">
        <w:rPr>
          <w:lang w:val="fr-FR"/>
        </w:rPr>
        <w:t>’</w:t>
      </w:r>
      <w:r w:rsidRPr="00B94E33">
        <w:rPr>
          <w:lang w:val="fr-FR"/>
        </w:rPr>
        <w:t xml:space="preserve">était pas violent </w:t>
      </w:r>
      <w:r w:rsidR="00AE7935" w:rsidRPr="00B94E33">
        <w:rPr>
          <w:lang w:val="fr-FR"/>
        </w:rPr>
        <w:t>à son égard</w:t>
      </w:r>
      <w:r w:rsidR="002E19CC" w:rsidRPr="00B94E33">
        <w:rPr>
          <w:lang w:val="fr-FR"/>
        </w:rPr>
        <w:t> ;</w:t>
      </w:r>
      <w:r w:rsidRPr="00B94E33">
        <w:rPr>
          <w:lang w:val="fr-FR"/>
        </w:rPr>
        <w:t xml:space="preserve"> </w:t>
      </w:r>
      <w:r w:rsidR="002E19CC" w:rsidRPr="00B94E33">
        <w:rPr>
          <w:lang w:val="fr-FR"/>
        </w:rPr>
        <w:t>ni la requérante ni son fils</w:t>
      </w:r>
      <w:r w:rsidRPr="00B94E33">
        <w:rPr>
          <w:lang w:val="fr-FR"/>
        </w:rPr>
        <w:t xml:space="preserve"> ne présentai</w:t>
      </w:r>
      <w:r w:rsidR="002E19CC" w:rsidRPr="00B94E33">
        <w:rPr>
          <w:lang w:val="fr-FR"/>
        </w:rPr>
        <w:t>en</w:t>
      </w:r>
      <w:r w:rsidRPr="00B94E33">
        <w:rPr>
          <w:lang w:val="fr-FR"/>
        </w:rPr>
        <w:t>t de signe</w:t>
      </w:r>
      <w:r w:rsidR="00AE7935" w:rsidRPr="00B94E33">
        <w:rPr>
          <w:lang w:val="fr-FR"/>
        </w:rPr>
        <w:t>s</w:t>
      </w:r>
      <w:r w:rsidRPr="00B94E33">
        <w:rPr>
          <w:lang w:val="fr-FR"/>
        </w:rPr>
        <w:t xml:space="preserve"> de violence</w:t>
      </w:r>
      <w:r w:rsidR="000310CA" w:rsidRPr="00B94E33">
        <w:rPr>
          <w:lang w:val="fr-FR"/>
        </w:rPr>
        <w:t>s</w:t>
      </w:r>
      <w:r w:rsidRPr="00B94E33">
        <w:rPr>
          <w:lang w:val="fr-FR"/>
        </w:rPr>
        <w:t>.</w:t>
      </w:r>
    </w:p>
    <w:p w:rsidR="00E943A9" w:rsidRPr="00B94E33" w:rsidRDefault="00E943A9"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39</w:t>
      </w:r>
      <w:r w:rsidRPr="00B94E33">
        <w:rPr>
          <w:lang w:val="fr-FR"/>
        </w:rPr>
        <w:fldChar w:fldCharType="end"/>
      </w:r>
      <w:r w:rsidRPr="00B94E33">
        <w:rPr>
          <w:lang w:val="fr-FR"/>
        </w:rPr>
        <w:t>.  A.T. fut transporté à l</w:t>
      </w:r>
      <w:r w:rsidR="00B94E33" w:rsidRPr="00B94E33">
        <w:rPr>
          <w:lang w:val="fr-FR"/>
        </w:rPr>
        <w:t>’</w:t>
      </w:r>
      <w:r w:rsidRPr="00B94E33">
        <w:rPr>
          <w:lang w:val="fr-FR"/>
        </w:rPr>
        <w:t>hôpital en état d</w:t>
      </w:r>
      <w:r w:rsidR="00B94E33" w:rsidRPr="00B94E33">
        <w:rPr>
          <w:lang w:val="fr-FR"/>
        </w:rPr>
        <w:t>’</w:t>
      </w:r>
      <w:r w:rsidRPr="00B94E33">
        <w:rPr>
          <w:lang w:val="fr-FR"/>
        </w:rPr>
        <w:t xml:space="preserve">ivresse. Dans la nuit, </w:t>
      </w:r>
      <w:r w:rsidR="002E19CC" w:rsidRPr="00B94E33">
        <w:rPr>
          <w:lang w:val="fr-FR"/>
        </w:rPr>
        <w:t>il</w:t>
      </w:r>
      <w:r w:rsidRPr="00B94E33">
        <w:rPr>
          <w:lang w:val="fr-FR"/>
        </w:rPr>
        <w:t xml:space="preserve"> sortit de l</w:t>
      </w:r>
      <w:r w:rsidR="00B94E33" w:rsidRPr="00B94E33">
        <w:rPr>
          <w:lang w:val="fr-FR"/>
        </w:rPr>
        <w:t>’</w:t>
      </w:r>
      <w:r w:rsidRPr="00B94E33">
        <w:rPr>
          <w:lang w:val="fr-FR"/>
        </w:rPr>
        <w:t>hôpital et se rendit dans une salle de jeux.</w:t>
      </w:r>
    </w:p>
    <w:p w:rsidR="00E943A9" w:rsidRPr="00B94E33" w:rsidRDefault="00E943A9"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40</w:t>
      </w:r>
      <w:r w:rsidRPr="00B94E33">
        <w:rPr>
          <w:lang w:val="fr-FR"/>
        </w:rPr>
        <w:fldChar w:fldCharType="end"/>
      </w:r>
      <w:r w:rsidRPr="00B94E33">
        <w:rPr>
          <w:lang w:val="fr-FR"/>
        </w:rPr>
        <w:t>.  Alors qu</w:t>
      </w:r>
      <w:r w:rsidR="00B94E33" w:rsidRPr="00B94E33">
        <w:rPr>
          <w:lang w:val="fr-FR"/>
        </w:rPr>
        <w:t>’</w:t>
      </w:r>
      <w:r w:rsidRPr="00B94E33">
        <w:rPr>
          <w:lang w:val="fr-FR"/>
        </w:rPr>
        <w:t>il marchait dans la rue, il fut arrêté par la police pour un contrôle d</w:t>
      </w:r>
      <w:r w:rsidR="00B94E33" w:rsidRPr="00B94E33">
        <w:rPr>
          <w:lang w:val="fr-FR"/>
        </w:rPr>
        <w:t>’</w:t>
      </w:r>
      <w:r w:rsidRPr="00B94E33">
        <w:rPr>
          <w:lang w:val="fr-FR"/>
        </w:rPr>
        <w:t xml:space="preserve">identité à </w:t>
      </w:r>
      <w:r w:rsidR="002E19CC" w:rsidRPr="00B94E33">
        <w:rPr>
          <w:lang w:val="fr-FR"/>
        </w:rPr>
        <w:t>2 h 25</w:t>
      </w:r>
      <w:r w:rsidRPr="00B94E33">
        <w:rPr>
          <w:lang w:val="fr-FR"/>
        </w:rPr>
        <w:t>.</w:t>
      </w:r>
    </w:p>
    <w:p w:rsidR="00E943A9" w:rsidRPr="00B94E33" w:rsidRDefault="00E943A9"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41</w:t>
      </w:r>
      <w:r w:rsidRPr="00B94E33">
        <w:rPr>
          <w:lang w:val="fr-FR"/>
        </w:rPr>
        <w:fldChar w:fldCharType="end"/>
      </w:r>
      <w:r w:rsidRPr="00B94E33">
        <w:rPr>
          <w:lang w:val="fr-FR"/>
        </w:rPr>
        <w:t xml:space="preserve">.  Il ressort du procès-verbal du contrôle de police </w:t>
      </w:r>
      <w:r w:rsidR="002E19CC" w:rsidRPr="00B94E33">
        <w:rPr>
          <w:lang w:val="fr-FR"/>
        </w:rPr>
        <w:t xml:space="preserve">que A.T. </w:t>
      </w:r>
      <w:r w:rsidRPr="00B94E33">
        <w:rPr>
          <w:lang w:val="fr-FR"/>
        </w:rPr>
        <w:t>était en état d</w:t>
      </w:r>
      <w:r w:rsidR="00B94E33" w:rsidRPr="00B94E33">
        <w:rPr>
          <w:lang w:val="fr-FR"/>
        </w:rPr>
        <w:t>’</w:t>
      </w:r>
      <w:r w:rsidRPr="00B94E33">
        <w:rPr>
          <w:lang w:val="fr-FR"/>
        </w:rPr>
        <w:t>ivresse</w:t>
      </w:r>
      <w:r w:rsidR="004A5744" w:rsidRPr="00B94E33">
        <w:rPr>
          <w:lang w:val="fr-FR"/>
        </w:rPr>
        <w:t>,</w:t>
      </w:r>
      <w:r w:rsidRPr="00B94E33">
        <w:rPr>
          <w:lang w:val="fr-FR"/>
        </w:rPr>
        <w:t xml:space="preserve"> </w:t>
      </w:r>
      <w:r w:rsidR="002E19CC" w:rsidRPr="00B94E33">
        <w:rPr>
          <w:lang w:val="fr-FR"/>
        </w:rPr>
        <w:t>qu</w:t>
      </w:r>
      <w:r w:rsidR="00B94E33" w:rsidRPr="00B94E33">
        <w:rPr>
          <w:lang w:val="fr-FR"/>
        </w:rPr>
        <w:t>’</w:t>
      </w:r>
      <w:r w:rsidR="002E19CC" w:rsidRPr="00B94E33">
        <w:rPr>
          <w:lang w:val="fr-FR"/>
        </w:rPr>
        <w:t xml:space="preserve">il </w:t>
      </w:r>
      <w:r w:rsidR="002B2E9D" w:rsidRPr="00B94E33">
        <w:rPr>
          <w:lang w:val="fr-FR"/>
        </w:rPr>
        <w:t xml:space="preserve">avait du mal à </w:t>
      </w:r>
      <w:r w:rsidR="004A5744" w:rsidRPr="00B94E33">
        <w:rPr>
          <w:lang w:val="fr-FR"/>
        </w:rPr>
        <w:t xml:space="preserve">se </w:t>
      </w:r>
      <w:r w:rsidR="002B2E9D" w:rsidRPr="00B94E33">
        <w:rPr>
          <w:lang w:val="fr-FR"/>
        </w:rPr>
        <w:t xml:space="preserve">tenir </w:t>
      </w:r>
      <w:r w:rsidR="004A5744" w:rsidRPr="00B94E33">
        <w:rPr>
          <w:lang w:val="fr-FR"/>
        </w:rPr>
        <w:t xml:space="preserve">en </w:t>
      </w:r>
      <w:r w:rsidR="002B2E9D" w:rsidRPr="00B94E33">
        <w:rPr>
          <w:lang w:val="fr-FR"/>
        </w:rPr>
        <w:t>équilibre</w:t>
      </w:r>
      <w:r w:rsidR="004A5744" w:rsidRPr="00B94E33">
        <w:rPr>
          <w:lang w:val="fr-FR"/>
        </w:rPr>
        <w:t xml:space="preserve"> et que la police l</w:t>
      </w:r>
      <w:r w:rsidR="00B94E33" w:rsidRPr="00B94E33">
        <w:rPr>
          <w:lang w:val="fr-FR"/>
        </w:rPr>
        <w:t>’</w:t>
      </w:r>
      <w:r w:rsidR="004A5744" w:rsidRPr="00B94E33">
        <w:rPr>
          <w:lang w:val="fr-FR"/>
        </w:rPr>
        <w:t xml:space="preserve">a laissé </w:t>
      </w:r>
      <w:r w:rsidRPr="00B94E33">
        <w:rPr>
          <w:lang w:val="fr-FR"/>
        </w:rPr>
        <w:t>partir</w:t>
      </w:r>
      <w:r w:rsidR="004A5744" w:rsidRPr="00B94E33">
        <w:rPr>
          <w:lang w:val="fr-FR"/>
        </w:rPr>
        <w:t xml:space="preserve"> après l</w:t>
      </w:r>
      <w:r w:rsidR="00B94E33" w:rsidRPr="00B94E33">
        <w:rPr>
          <w:lang w:val="fr-FR"/>
        </w:rPr>
        <w:t>’</w:t>
      </w:r>
      <w:r w:rsidR="004A5744" w:rsidRPr="00B94E33">
        <w:rPr>
          <w:lang w:val="fr-FR"/>
        </w:rPr>
        <w:t>avoir verbalisé</w:t>
      </w:r>
      <w:r w:rsidRPr="00B94E33">
        <w:rPr>
          <w:lang w:val="fr-FR"/>
        </w:rPr>
        <w:t>.</w:t>
      </w:r>
    </w:p>
    <w:p w:rsidR="00E943A9" w:rsidRPr="00B94E33" w:rsidRDefault="00E943A9"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42</w:t>
      </w:r>
      <w:r w:rsidRPr="00B94E33">
        <w:rPr>
          <w:lang w:val="fr-FR"/>
        </w:rPr>
        <w:fldChar w:fldCharType="end"/>
      </w:r>
      <w:r w:rsidRPr="00B94E33">
        <w:rPr>
          <w:lang w:val="fr-FR"/>
        </w:rPr>
        <w:t>.  </w:t>
      </w:r>
      <w:r w:rsidR="002E19CC" w:rsidRPr="00B94E33">
        <w:rPr>
          <w:lang w:val="fr-FR"/>
        </w:rPr>
        <w:t>À</w:t>
      </w:r>
      <w:r w:rsidRPr="00B94E33">
        <w:rPr>
          <w:lang w:val="fr-FR"/>
        </w:rPr>
        <w:t xml:space="preserve"> </w:t>
      </w:r>
      <w:r w:rsidR="002E19CC" w:rsidRPr="00B94E33">
        <w:rPr>
          <w:lang w:val="fr-FR"/>
        </w:rPr>
        <w:t xml:space="preserve">5 </w:t>
      </w:r>
      <w:r w:rsidRPr="00B94E33">
        <w:rPr>
          <w:lang w:val="fr-FR"/>
        </w:rPr>
        <w:t xml:space="preserve">heures, A.T. entra </w:t>
      </w:r>
      <w:r w:rsidR="002E19CC" w:rsidRPr="00B94E33">
        <w:rPr>
          <w:lang w:val="fr-FR"/>
        </w:rPr>
        <w:t>dans l</w:t>
      </w:r>
      <w:r w:rsidR="00B94E33" w:rsidRPr="00B94E33">
        <w:rPr>
          <w:lang w:val="fr-FR"/>
        </w:rPr>
        <w:t>’</w:t>
      </w:r>
      <w:r w:rsidR="002E19CC" w:rsidRPr="00B94E33">
        <w:rPr>
          <w:lang w:val="fr-FR"/>
        </w:rPr>
        <w:t>appartement familial</w:t>
      </w:r>
      <w:r w:rsidRPr="00B94E33">
        <w:rPr>
          <w:lang w:val="fr-FR"/>
        </w:rPr>
        <w:t xml:space="preserve"> </w:t>
      </w:r>
      <w:r w:rsidR="002B2E9D" w:rsidRPr="00B94E33">
        <w:rPr>
          <w:lang w:val="fr-FR"/>
        </w:rPr>
        <w:t>armé d</w:t>
      </w:r>
      <w:r w:rsidR="00B94E33" w:rsidRPr="00B94E33">
        <w:rPr>
          <w:lang w:val="fr-FR"/>
        </w:rPr>
        <w:t>’</w:t>
      </w:r>
      <w:r w:rsidRPr="00B94E33">
        <w:rPr>
          <w:lang w:val="fr-FR"/>
        </w:rPr>
        <w:t xml:space="preserve">un couteau de cuisine de </w:t>
      </w:r>
      <w:r w:rsidR="00AE7935" w:rsidRPr="00B94E33">
        <w:rPr>
          <w:lang w:val="fr-FR"/>
        </w:rPr>
        <w:t xml:space="preserve">12 </w:t>
      </w:r>
      <w:r w:rsidRPr="00B94E33">
        <w:rPr>
          <w:lang w:val="fr-FR"/>
        </w:rPr>
        <w:t>centimètres avec l</w:t>
      </w:r>
      <w:r w:rsidR="00B94E33" w:rsidRPr="00B94E33">
        <w:rPr>
          <w:lang w:val="fr-FR"/>
        </w:rPr>
        <w:t>’</w:t>
      </w:r>
      <w:r w:rsidRPr="00B94E33">
        <w:rPr>
          <w:lang w:val="fr-FR"/>
        </w:rPr>
        <w:t>intention d</w:t>
      </w:r>
      <w:r w:rsidR="00B94E33" w:rsidRPr="00B94E33">
        <w:rPr>
          <w:lang w:val="fr-FR"/>
        </w:rPr>
        <w:t>’</w:t>
      </w:r>
      <w:r w:rsidRPr="00B94E33">
        <w:rPr>
          <w:lang w:val="fr-FR"/>
        </w:rPr>
        <w:t>agresser la requérante. Le fils de la requérante tenta de l</w:t>
      </w:r>
      <w:r w:rsidR="00B94E33" w:rsidRPr="00B94E33">
        <w:rPr>
          <w:lang w:val="fr-FR"/>
        </w:rPr>
        <w:t>’</w:t>
      </w:r>
      <w:r w:rsidRPr="00B94E33">
        <w:rPr>
          <w:lang w:val="fr-FR"/>
        </w:rPr>
        <w:t>arrêter et fut poignardé trois fois. Il décéda de ses blessures. La requérante essaya de s</w:t>
      </w:r>
      <w:r w:rsidR="00B94E33" w:rsidRPr="00B94E33">
        <w:rPr>
          <w:lang w:val="fr-FR"/>
        </w:rPr>
        <w:t>’</w:t>
      </w:r>
      <w:r w:rsidRPr="00B94E33">
        <w:rPr>
          <w:lang w:val="fr-FR"/>
        </w:rPr>
        <w:t>échapper</w:t>
      </w:r>
      <w:r w:rsidR="004A5744" w:rsidRPr="00B94E33">
        <w:rPr>
          <w:lang w:val="fr-FR"/>
        </w:rPr>
        <w:t>,</w:t>
      </w:r>
      <w:r w:rsidRPr="00B94E33">
        <w:rPr>
          <w:lang w:val="fr-FR"/>
        </w:rPr>
        <w:t xml:space="preserve"> mais A.T. réussi</w:t>
      </w:r>
      <w:r w:rsidR="002E19CC" w:rsidRPr="00B94E33">
        <w:rPr>
          <w:lang w:val="fr-FR"/>
        </w:rPr>
        <w:t>t</w:t>
      </w:r>
      <w:r w:rsidRPr="00B94E33">
        <w:rPr>
          <w:lang w:val="fr-FR"/>
        </w:rPr>
        <w:t xml:space="preserve"> </w:t>
      </w:r>
      <w:r w:rsidR="002E19CC" w:rsidRPr="00B94E33">
        <w:rPr>
          <w:lang w:val="fr-FR"/>
        </w:rPr>
        <w:t>à</w:t>
      </w:r>
      <w:r w:rsidRPr="00B94E33">
        <w:rPr>
          <w:lang w:val="fr-FR"/>
        </w:rPr>
        <w:t xml:space="preserve"> la rejoindre dans la rue</w:t>
      </w:r>
      <w:r w:rsidR="004A5744" w:rsidRPr="00B94E33">
        <w:rPr>
          <w:lang w:val="fr-FR"/>
        </w:rPr>
        <w:t xml:space="preserve"> et</w:t>
      </w:r>
      <w:r w:rsidR="0063009B" w:rsidRPr="00B94E33">
        <w:rPr>
          <w:lang w:val="fr-FR"/>
        </w:rPr>
        <w:t xml:space="preserve"> lui porta plusieurs coups de couteau</w:t>
      </w:r>
      <w:r w:rsidRPr="00B94E33">
        <w:rPr>
          <w:lang w:val="fr-FR"/>
        </w:rPr>
        <w:t xml:space="preserve"> à la poitrine.</w:t>
      </w:r>
    </w:p>
    <w:p w:rsidR="00E943A9" w:rsidRPr="00B94E33" w:rsidRDefault="00971F5F" w:rsidP="00B94E33">
      <w:pPr>
        <w:pStyle w:val="ECHRHeading2"/>
        <w:rPr>
          <w:lang w:val="fr-FR"/>
        </w:rPr>
      </w:pPr>
      <w:r w:rsidRPr="00B94E33">
        <w:rPr>
          <w:lang w:val="fr-FR"/>
        </w:rPr>
        <w:t>5</w:t>
      </w:r>
      <w:r w:rsidR="00E943A9" w:rsidRPr="00B94E33">
        <w:rPr>
          <w:lang w:val="fr-FR"/>
        </w:rPr>
        <w:t>.</w:t>
      </w:r>
      <w:r w:rsidR="00E675F4" w:rsidRPr="00B94E33">
        <w:rPr>
          <w:lang w:val="fr-FR"/>
        </w:rPr>
        <w:t>  </w:t>
      </w:r>
      <w:r w:rsidR="00E943A9" w:rsidRPr="00B94E33">
        <w:rPr>
          <w:lang w:val="fr-FR"/>
        </w:rPr>
        <w:t xml:space="preserve">La procédure pénale </w:t>
      </w:r>
      <w:r w:rsidR="004A5744" w:rsidRPr="00B94E33">
        <w:rPr>
          <w:lang w:val="fr-FR"/>
        </w:rPr>
        <w:t xml:space="preserve">engagée </w:t>
      </w:r>
      <w:r w:rsidR="00E943A9" w:rsidRPr="00B94E33">
        <w:rPr>
          <w:lang w:val="fr-FR"/>
        </w:rPr>
        <w:t>à l</w:t>
      </w:r>
      <w:r w:rsidR="00B94E33" w:rsidRPr="00B94E33">
        <w:rPr>
          <w:lang w:val="fr-FR"/>
        </w:rPr>
        <w:t>’</w:t>
      </w:r>
      <w:r w:rsidR="00E943A9" w:rsidRPr="00B94E33">
        <w:rPr>
          <w:lang w:val="fr-FR"/>
        </w:rPr>
        <w:t>encontre de A.T.</w:t>
      </w:r>
      <w:r w:rsidR="00450BF4" w:rsidRPr="00B94E33">
        <w:rPr>
          <w:lang w:val="fr-FR"/>
        </w:rPr>
        <w:t xml:space="preserve"> pour </w:t>
      </w:r>
      <w:r w:rsidR="00C5643E" w:rsidRPr="00B94E33">
        <w:rPr>
          <w:lang w:val="fr-FR"/>
        </w:rPr>
        <w:t>lésions corporelles</w:t>
      </w:r>
      <w:r w:rsidR="00E675F4" w:rsidRPr="00B94E33">
        <w:rPr>
          <w:lang w:val="fr-FR"/>
        </w:rPr>
        <w:t xml:space="preserve"> </w:t>
      </w:r>
      <w:r w:rsidR="00450BF4" w:rsidRPr="00B94E33">
        <w:rPr>
          <w:lang w:val="fr-FR"/>
        </w:rPr>
        <w:t>aggravées</w:t>
      </w:r>
    </w:p>
    <w:p w:rsidR="00450BF4" w:rsidRPr="00B94E33" w:rsidRDefault="00450BF4"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43</w:t>
      </w:r>
      <w:r w:rsidRPr="00B94E33">
        <w:rPr>
          <w:lang w:val="fr-FR"/>
        </w:rPr>
        <w:fldChar w:fldCharType="end"/>
      </w:r>
      <w:r w:rsidRPr="00B94E33">
        <w:rPr>
          <w:lang w:val="fr-FR"/>
        </w:rPr>
        <w:t>.  </w:t>
      </w:r>
      <w:r w:rsidR="003339A9" w:rsidRPr="00B94E33">
        <w:rPr>
          <w:lang w:val="fr-FR"/>
        </w:rPr>
        <w:t>Le 1</w:t>
      </w:r>
      <w:r w:rsidR="003339A9" w:rsidRPr="00B94E33">
        <w:rPr>
          <w:vertAlign w:val="superscript"/>
          <w:lang w:val="fr-FR"/>
        </w:rPr>
        <w:t>er</w:t>
      </w:r>
      <w:r w:rsidR="003339A9" w:rsidRPr="00B94E33">
        <w:rPr>
          <w:lang w:val="fr-FR"/>
        </w:rPr>
        <w:t xml:space="preserve"> octobre 2015, A.T</w:t>
      </w:r>
      <w:r w:rsidR="004A5744" w:rsidRPr="00B94E33">
        <w:rPr>
          <w:lang w:val="fr-FR"/>
        </w:rPr>
        <w:t>.</w:t>
      </w:r>
      <w:r w:rsidR="003339A9" w:rsidRPr="00B94E33">
        <w:rPr>
          <w:lang w:val="fr-FR"/>
        </w:rPr>
        <w:t xml:space="preserve"> fut </w:t>
      </w:r>
      <w:r w:rsidRPr="00B94E33">
        <w:rPr>
          <w:lang w:val="fr-FR"/>
        </w:rPr>
        <w:t>déclaré coupable par le juge de paix de</w:t>
      </w:r>
      <w:r w:rsidR="003339A9" w:rsidRPr="00B94E33">
        <w:rPr>
          <w:lang w:val="fr-FR"/>
        </w:rPr>
        <w:t xml:space="preserve"> </w:t>
      </w:r>
      <w:r w:rsidR="00C5643E" w:rsidRPr="00B94E33">
        <w:rPr>
          <w:lang w:val="fr-FR"/>
        </w:rPr>
        <w:t>lésions corporelles</w:t>
      </w:r>
      <w:r w:rsidR="00E675F4" w:rsidRPr="00B94E33">
        <w:rPr>
          <w:lang w:val="fr-FR"/>
        </w:rPr>
        <w:t xml:space="preserve"> </w:t>
      </w:r>
      <w:r w:rsidR="003339A9" w:rsidRPr="00B94E33">
        <w:rPr>
          <w:lang w:val="fr-FR"/>
        </w:rPr>
        <w:t xml:space="preserve">aggravées </w:t>
      </w:r>
      <w:r w:rsidR="00AE7935" w:rsidRPr="00B94E33">
        <w:rPr>
          <w:lang w:val="fr-FR"/>
        </w:rPr>
        <w:t xml:space="preserve">sur la personne de </w:t>
      </w:r>
      <w:r w:rsidR="003339A9" w:rsidRPr="00B94E33">
        <w:rPr>
          <w:lang w:val="fr-FR"/>
        </w:rPr>
        <w:t>la requérant</w:t>
      </w:r>
      <w:r w:rsidR="00E675F4" w:rsidRPr="00B94E33">
        <w:rPr>
          <w:lang w:val="fr-FR"/>
        </w:rPr>
        <w:t>e en raison des blessures</w:t>
      </w:r>
      <w:r w:rsidRPr="00B94E33">
        <w:rPr>
          <w:lang w:val="fr-FR"/>
        </w:rPr>
        <w:t xml:space="preserve"> </w:t>
      </w:r>
      <w:r w:rsidR="00E675F4" w:rsidRPr="00B94E33">
        <w:rPr>
          <w:lang w:val="fr-FR"/>
        </w:rPr>
        <w:t>qu</w:t>
      </w:r>
      <w:r w:rsidR="00B94E33" w:rsidRPr="00B94E33">
        <w:rPr>
          <w:lang w:val="fr-FR"/>
        </w:rPr>
        <w:t>’</w:t>
      </w:r>
      <w:r w:rsidR="00E675F4" w:rsidRPr="00B94E33">
        <w:rPr>
          <w:lang w:val="fr-FR"/>
        </w:rPr>
        <w:t xml:space="preserve">il lui avait infligées </w:t>
      </w:r>
      <w:r w:rsidRPr="00B94E33">
        <w:rPr>
          <w:lang w:val="fr-FR"/>
        </w:rPr>
        <w:t xml:space="preserve">lors de </w:t>
      </w:r>
      <w:r w:rsidR="007D5CEE" w:rsidRPr="00B94E33">
        <w:rPr>
          <w:lang w:val="fr-FR"/>
        </w:rPr>
        <w:t>l</w:t>
      </w:r>
      <w:r w:rsidR="00B94E33" w:rsidRPr="00B94E33">
        <w:rPr>
          <w:lang w:val="fr-FR"/>
        </w:rPr>
        <w:t>’</w:t>
      </w:r>
      <w:r w:rsidR="007D5CEE" w:rsidRPr="00B94E33">
        <w:rPr>
          <w:lang w:val="fr-FR"/>
        </w:rPr>
        <w:t>incident</w:t>
      </w:r>
      <w:r w:rsidRPr="00B94E33">
        <w:rPr>
          <w:lang w:val="fr-FR"/>
        </w:rPr>
        <w:t xml:space="preserve"> d</w:t>
      </w:r>
      <w:r w:rsidR="00E675F4" w:rsidRPr="00B94E33">
        <w:rPr>
          <w:lang w:val="fr-FR"/>
        </w:rPr>
        <w:t>u mois d</w:t>
      </w:r>
      <w:r w:rsidR="00B94E33" w:rsidRPr="00B94E33">
        <w:rPr>
          <w:lang w:val="fr-FR"/>
        </w:rPr>
        <w:t>’</w:t>
      </w:r>
      <w:r w:rsidRPr="00B94E33">
        <w:rPr>
          <w:lang w:val="fr-FR"/>
        </w:rPr>
        <w:t>août 2012</w:t>
      </w:r>
      <w:r w:rsidR="00E675F4" w:rsidRPr="00B94E33">
        <w:rPr>
          <w:lang w:val="fr-FR"/>
        </w:rPr>
        <w:t>,</w:t>
      </w:r>
      <w:r w:rsidR="003339A9" w:rsidRPr="00B94E33">
        <w:rPr>
          <w:lang w:val="fr-FR"/>
        </w:rPr>
        <w:t xml:space="preserve"> et condamné à payer une amende de 2</w:t>
      </w:r>
      <w:r w:rsidR="001418EE" w:rsidRPr="00B94E33">
        <w:rPr>
          <w:lang w:val="fr-FR"/>
        </w:rPr>
        <w:t> </w:t>
      </w:r>
      <w:r w:rsidR="003339A9" w:rsidRPr="00B94E33">
        <w:rPr>
          <w:lang w:val="fr-FR"/>
        </w:rPr>
        <w:t>000</w:t>
      </w:r>
      <w:r w:rsidR="00E675F4" w:rsidRPr="00B94E33">
        <w:rPr>
          <w:lang w:val="fr-FR"/>
        </w:rPr>
        <w:t> EUR</w:t>
      </w:r>
      <w:r w:rsidR="003339A9" w:rsidRPr="00B94E33">
        <w:rPr>
          <w:lang w:val="fr-FR"/>
        </w:rPr>
        <w:t>.</w:t>
      </w:r>
    </w:p>
    <w:p w:rsidR="00450BF4" w:rsidRPr="00B94E33" w:rsidRDefault="00971F5F" w:rsidP="00B94E33">
      <w:pPr>
        <w:pStyle w:val="ECHRHeading2"/>
        <w:rPr>
          <w:lang w:val="fr-FR"/>
        </w:rPr>
      </w:pPr>
      <w:r w:rsidRPr="00B94E33">
        <w:rPr>
          <w:lang w:val="fr-FR"/>
        </w:rPr>
        <w:t>6</w:t>
      </w:r>
      <w:r w:rsidR="00450BF4" w:rsidRPr="00B94E33">
        <w:rPr>
          <w:lang w:val="fr-FR"/>
        </w:rPr>
        <w:t>.</w:t>
      </w:r>
      <w:r w:rsidR="00E675F4" w:rsidRPr="00B94E33">
        <w:rPr>
          <w:lang w:val="fr-FR"/>
        </w:rPr>
        <w:t>  </w:t>
      </w:r>
      <w:r w:rsidR="00450BF4" w:rsidRPr="00B94E33">
        <w:rPr>
          <w:lang w:val="fr-FR"/>
        </w:rPr>
        <w:t xml:space="preserve">La procédure pénale </w:t>
      </w:r>
      <w:r w:rsidR="00AE7935" w:rsidRPr="00B94E33">
        <w:rPr>
          <w:lang w:val="fr-FR"/>
        </w:rPr>
        <w:t xml:space="preserve">engagée </w:t>
      </w:r>
      <w:r w:rsidR="00450BF4" w:rsidRPr="00B94E33">
        <w:rPr>
          <w:lang w:val="fr-FR"/>
        </w:rPr>
        <w:t>à l</w:t>
      </w:r>
      <w:r w:rsidR="00B94E33" w:rsidRPr="00B94E33">
        <w:rPr>
          <w:lang w:val="fr-FR"/>
        </w:rPr>
        <w:t>’</w:t>
      </w:r>
      <w:r w:rsidR="00450BF4" w:rsidRPr="00B94E33">
        <w:rPr>
          <w:lang w:val="fr-FR"/>
        </w:rPr>
        <w:t xml:space="preserve">encontre de A.T. pour le meurtre de son fils, </w:t>
      </w:r>
      <w:r w:rsidR="00E675F4" w:rsidRPr="00B94E33">
        <w:rPr>
          <w:lang w:val="fr-FR"/>
        </w:rPr>
        <w:t xml:space="preserve">pour </w:t>
      </w:r>
      <w:r w:rsidR="00450BF4" w:rsidRPr="00B94E33">
        <w:rPr>
          <w:lang w:val="fr-FR"/>
        </w:rPr>
        <w:t xml:space="preserve">la tentative de meurtre </w:t>
      </w:r>
      <w:r w:rsidR="004A5744" w:rsidRPr="00B94E33">
        <w:rPr>
          <w:lang w:val="fr-FR"/>
        </w:rPr>
        <w:t>sur</w:t>
      </w:r>
      <w:r w:rsidR="00450BF4" w:rsidRPr="00B94E33">
        <w:rPr>
          <w:lang w:val="fr-FR"/>
        </w:rPr>
        <w:t xml:space="preserve"> la requérante </w:t>
      </w:r>
      <w:r w:rsidR="00E675F4" w:rsidRPr="00B94E33">
        <w:rPr>
          <w:lang w:val="fr-FR"/>
        </w:rPr>
        <w:t xml:space="preserve">et </w:t>
      </w:r>
      <w:r w:rsidR="00450BF4" w:rsidRPr="00B94E33">
        <w:rPr>
          <w:lang w:val="fr-FR"/>
        </w:rPr>
        <w:t>pour le délit de maltraitance envers la requérante</w:t>
      </w:r>
    </w:p>
    <w:p w:rsidR="00EF4E78" w:rsidRPr="00B94E33" w:rsidRDefault="00450BF4"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44</w:t>
      </w:r>
      <w:r w:rsidRPr="00B94E33">
        <w:rPr>
          <w:lang w:val="fr-FR"/>
        </w:rPr>
        <w:fldChar w:fldCharType="end"/>
      </w:r>
      <w:r w:rsidRPr="00B94E33">
        <w:rPr>
          <w:lang w:val="fr-FR"/>
        </w:rPr>
        <w:t>.  </w:t>
      </w:r>
      <w:r w:rsidR="005C5707" w:rsidRPr="00B94E33">
        <w:rPr>
          <w:lang w:val="fr-FR"/>
        </w:rPr>
        <w:t>À</w:t>
      </w:r>
      <w:r w:rsidRPr="00B94E33">
        <w:rPr>
          <w:lang w:val="fr-FR"/>
        </w:rPr>
        <w:t xml:space="preserve"> une date non précisée, en novembre 2013, l</w:t>
      </w:r>
      <w:r w:rsidR="00B94E33" w:rsidRPr="00B94E33">
        <w:rPr>
          <w:lang w:val="fr-FR"/>
        </w:rPr>
        <w:t>’</w:t>
      </w:r>
      <w:r w:rsidRPr="00B94E33">
        <w:rPr>
          <w:lang w:val="fr-FR"/>
        </w:rPr>
        <w:t xml:space="preserve">enquête </w:t>
      </w:r>
      <w:r w:rsidR="00AE7935" w:rsidRPr="00B94E33">
        <w:rPr>
          <w:lang w:val="fr-FR"/>
        </w:rPr>
        <w:t>relative aux actes</w:t>
      </w:r>
      <w:r w:rsidRPr="00B94E33">
        <w:rPr>
          <w:lang w:val="fr-FR"/>
        </w:rPr>
        <w:t xml:space="preserve"> de maltraitance fut </w:t>
      </w:r>
      <w:r w:rsidR="00871525" w:rsidRPr="00B94E33">
        <w:rPr>
          <w:lang w:val="fr-FR"/>
        </w:rPr>
        <w:t>rouverte</w:t>
      </w:r>
      <w:r w:rsidRPr="00B94E33">
        <w:rPr>
          <w:lang w:val="fr-FR"/>
        </w:rPr>
        <w:t>.</w:t>
      </w:r>
    </w:p>
    <w:p w:rsidR="00450BF4" w:rsidRPr="00B94E33" w:rsidRDefault="00450BF4"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45</w:t>
      </w:r>
      <w:r w:rsidRPr="00B94E33">
        <w:rPr>
          <w:lang w:val="fr-FR"/>
        </w:rPr>
        <w:fldChar w:fldCharType="end"/>
      </w:r>
      <w:r w:rsidRPr="00B94E33">
        <w:rPr>
          <w:lang w:val="fr-FR"/>
        </w:rPr>
        <w:t>.  A.T. demanda à être jugé selon la procédure abrégée (</w:t>
      </w:r>
      <w:r w:rsidRPr="00B94E33">
        <w:rPr>
          <w:i/>
          <w:lang w:val="fr-FR"/>
        </w:rPr>
        <w:t>giudizio abbreviato</w:t>
      </w:r>
      <w:r w:rsidRPr="00B94E33">
        <w:rPr>
          <w:lang w:val="fr-FR"/>
        </w:rPr>
        <w:t>).</w:t>
      </w:r>
    </w:p>
    <w:p w:rsidR="00EF4E78" w:rsidRPr="00B94E33" w:rsidRDefault="00E943A9"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46</w:t>
      </w:r>
      <w:r w:rsidRPr="00B94E33">
        <w:rPr>
          <w:lang w:val="fr-FR"/>
        </w:rPr>
        <w:fldChar w:fldCharType="end"/>
      </w:r>
      <w:r w:rsidRPr="00B94E33">
        <w:rPr>
          <w:lang w:val="fr-FR"/>
        </w:rPr>
        <w:t>.  Le 8 janvier 2015, A.T</w:t>
      </w:r>
      <w:r w:rsidR="004A5744" w:rsidRPr="00B94E33">
        <w:rPr>
          <w:lang w:val="fr-FR"/>
        </w:rPr>
        <w:t>.</w:t>
      </w:r>
      <w:r w:rsidRPr="00B94E33">
        <w:rPr>
          <w:lang w:val="fr-FR"/>
        </w:rPr>
        <w:t xml:space="preserve"> fut condamné </w:t>
      </w:r>
      <w:r w:rsidR="00450BF4" w:rsidRPr="00B94E33">
        <w:rPr>
          <w:lang w:val="fr-FR"/>
        </w:rPr>
        <w:t xml:space="preserve">par </w:t>
      </w:r>
      <w:r w:rsidR="00A26882" w:rsidRPr="00B94E33">
        <w:rPr>
          <w:lang w:val="fr-FR"/>
        </w:rPr>
        <w:t>le juge de l</w:t>
      </w:r>
      <w:r w:rsidR="00B94E33" w:rsidRPr="00B94E33">
        <w:rPr>
          <w:lang w:val="fr-FR"/>
        </w:rPr>
        <w:t>’</w:t>
      </w:r>
      <w:r w:rsidR="00A26882" w:rsidRPr="00B94E33">
        <w:rPr>
          <w:lang w:val="fr-FR"/>
        </w:rPr>
        <w:t>audience préliminaire (</w:t>
      </w:r>
      <w:r w:rsidR="00A7068F" w:rsidRPr="00B94E33">
        <w:rPr>
          <w:lang w:val="fr-FR"/>
        </w:rPr>
        <w:t>« </w:t>
      </w:r>
      <w:r w:rsidR="005C5707" w:rsidRPr="00B94E33">
        <w:rPr>
          <w:lang w:val="fr-FR"/>
        </w:rPr>
        <w:t>le</w:t>
      </w:r>
      <w:r w:rsidR="00A26882" w:rsidRPr="00B94E33">
        <w:rPr>
          <w:lang w:val="fr-FR"/>
        </w:rPr>
        <w:t xml:space="preserve"> GUP</w:t>
      </w:r>
      <w:r w:rsidR="00A7068F" w:rsidRPr="00B94E33">
        <w:rPr>
          <w:lang w:val="fr-FR"/>
        </w:rPr>
        <w:t> »</w:t>
      </w:r>
      <w:r w:rsidR="00A26882" w:rsidRPr="00B94E33">
        <w:rPr>
          <w:lang w:val="fr-FR"/>
        </w:rPr>
        <w:t>)</w:t>
      </w:r>
      <w:r w:rsidR="00450BF4" w:rsidRPr="00B94E33">
        <w:rPr>
          <w:lang w:val="fr-FR"/>
        </w:rPr>
        <w:t xml:space="preserve"> de Udine </w:t>
      </w:r>
      <w:r w:rsidRPr="00B94E33">
        <w:rPr>
          <w:lang w:val="fr-FR"/>
        </w:rPr>
        <w:t xml:space="preserve">à la </w:t>
      </w:r>
      <w:r w:rsidR="00B6243A" w:rsidRPr="00B94E33">
        <w:rPr>
          <w:lang w:val="fr-FR"/>
        </w:rPr>
        <w:t xml:space="preserve">réclusion à </w:t>
      </w:r>
      <w:r w:rsidRPr="00B94E33">
        <w:rPr>
          <w:lang w:val="fr-FR"/>
        </w:rPr>
        <w:t xml:space="preserve">perpétuité pour le meurtre de son fils et la tentative de meurtre </w:t>
      </w:r>
      <w:r w:rsidR="004A5744" w:rsidRPr="00B94E33">
        <w:rPr>
          <w:lang w:val="fr-FR"/>
        </w:rPr>
        <w:t xml:space="preserve">sur </w:t>
      </w:r>
      <w:r w:rsidRPr="00B94E33">
        <w:rPr>
          <w:lang w:val="fr-FR"/>
        </w:rPr>
        <w:t>sa femme</w:t>
      </w:r>
      <w:r w:rsidR="004A5744" w:rsidRPr="00B94E33">
        <w:rPr>
          <w:lang w:val="fr-FR"/>
        </w:rPr>
        <w:t>,</w:t>
      </w:r>
      <w:r w:rsidRPr="00B94E33">
        <w:rPr>
          <w:lang w:val="fr-FR"/>
        </w:rPr>
        <w:t xml:space="preserve"> </w:t>
      </w:r>
      <w:r w:rsidR="004A5744" w:rsidRPr="00B94E33">
        <w:rPr>
          <w:lang w:val="fr-FR"/>
        </w:rPr>
        <w:t>et</w:t>
      </w:r>
      <w:r w:rsidRPr="00B94E33">
        <w:rPr>
          <w:lang w:val="fr-FR"/>
        </w:rPr>
        <w:t xml:space="preserve"> pour les délits </w:t>
      </w:r>
      <w:r w:rsidRPr="00B94E33">
        <w:rPr>
          <w:lang w:val="fr-FR"/>
        </w:rPr>
        <w:lastRenderedPageBreak/>
        <w:t xml:space="preserve">de maltraitance envers la requérante et sa fille et </w:t>
      </w:r>
      <w:r w:rsidR="00B6243A" w:rsidRPr="00B94E33">
        <w:rPr>
          <w:lang w:val="fr-FR"/>
        </w:rPr>
        <w:t xml:space="preserve">de </w:t>
      </w:r>
      <w:r w:rsidRPr="00B94E33">
        <w:rPr>
          <w:lang w:val="fr-FR"/>
        </w:rPr>
        <w:t>port d</w:t>
      </w:r>
      <w:r w:rsidR="00B94E33" w:rsidRPr="00B94E33">
        <w:rPr>
          <w:lang w:val="fr-FR"/>
        </w:rPr>
        <w:t>’</w:t>
      </w:r>
      <w:r w:rsidRPr="00B94E33">
        <w:rPr>
          <w:lang w:val="fr-FR"/>
        </w:rPr>
        <w:t>arme</w:t>
      </w:r>
      <w:r w:rsidR="00E31D27" w:rsidRPr="00B94E33">
        <w:rPr>
          <w:lang w:val="fr-FR"/>
        </w:rPr>
        <w:t xml:space="preserve"> prohibé</w:t>
      </w:r>
      <w:r w:rsidR="00B6243A" w:rsidRPr="00B94E33">
        <w:rPr>
          <w:lang w:val="fr-FR"/>
        </w:rPr>
        <w:t>. Il fut également condamné</w:t>
      </w:r>
      <w:r w:rsidRPr="00B94E33">
        <w:rPr>
          <w:lang w:val="fr-FR"/>
        </w:rPr>
        <w:t xml:space="preserve"> à dédommager la requérante à hauteur de 400 000</w:t>
      </w:r>
      <w:r w:rsidR="007D5CEE" w:rsidRPr="00B94E33">
        <w:rPr>
          <w:lang w:val="fr-FR"/>
        </w:rPr>
        <w:t> </w:t>
      </w:r>
      <w:r w:rsidRPr="00B94E33">
        <w:rPr>
          <w:lang w:val="fr-FR"/>
        </w:rPr>
        <w:t xml:space="preserve">EUR. La requérante </w:t>
      </w:r>
      <w:r w:rsidR="002B2E9D" w:rsidRPr="00B94E33">
        <w:rPr>
          <w:lang w:val="fr-FR"/>
        </w:rPr>
        <w:t>s</w:t>
      </w:r>
      <w:r w:rsidR="00B94E33" w:rsidRPr="00B94E33">
        <w:rPr>
          <w:lang w:val="fr-FR"/>
        </w:rPr>
        <w:t>’</w:t>
      </w:r>
      <w:r w:rsidR="002B2E9D" w:rsidRPr="00B94E33">
        <w:rPr>
          <w:lang w:val="fr-FR"/>
        </w:rPr>
        <w:t>était constituée</w:t>
      </w:r>
      <w:r w:rsidRPr="00B94E33">
        <w:rPr>
          <w:lang w:val="fr-FR"/>
        </w:rPr>
        <w:t xml:space="preserve"> partie civile.</w:t>
      </w:r>
    </w:p>
    <w:bookmarkStart w:id="10" w:name="para47"/>
    <w:p w:rsidR="003339A9" w:rsidRPr="00B94E33" w:rsidRDefault="005B3F38"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47</w:t>
      </w:r>
      <w:r w:rsidRPr="00B94E33">
        <w:rPr>
          <w:lang w:val="fr-FR"/>
        </w:rPr>
        <w:fldChar w:fldCharType="end"/>
      </w:r>
      <w:bookmarkEnd w:id="10"/>
      <w:r w:rsidRPr="00B94E33">
        <w:rPr>
          <w:lang w:val="fr-FR"/>
        </w:rPr>
        <w:t>.  </w:t>
      </w:r>
      <w:r w:rsidR="004A5744" w:rsidRPr="00B94E33">
        <w:rPr>
          <w:lang w:val="fr-FR"/>
        </w:rPr>
        <w:t>S</w:t>
      </w:r>
      <w:r w:rsidR="00B94E33" w:rsidRPr="00B94E33">
        <w:rPr>
          <w:lang w:val="fr-FR"/>
        </w:rPr>
        <w:t>’</w:t>
      </w:r>
      <w:r w:rsidR="004A5744" w:rsidRPr="00B94E33">
        <w:rPr>
          <w:lang w:val="fr-FR"/>
        </w:rPr>
        <w:t>agissant du grief de</w:t>
      </w:r>
      <w:r w:rsidR="003339A9" w:rsidRPr="00B94E33">
        <w:rPr>
          <w:lang w:val="fr-FR"/>
        </w:rPr>
        <w:t xml:space="preserve"> maltraitance, le </w:t>
      </w:r>
      <w:r w:rsidR="00A26882" w:rsidRPr="00B94E33">
        <w:rPr>
          <w:lang w:val="fr-FR"/>
        </w:rPr>
        <w:t>GUP</w:t>
      </w:r>
      <w:r w:rsidR="0060582D" w:rsidRPr="00B94E33">
        <w:rPr>
          <w:lang w:val="fr-FR"/>
        </w:rPr>
        <w:t>,</w:t>
      </w:r>
      <w:r w:rsidR="003339A9" w:rsidRPr="00B94E33">
        <w:rPr>
          <w:lang w:val="fr-FR"/>
        </w:rPr>
        <w:t xml:space="preserve"> </w:t>
      </w:r>
      <w:r w:rsidR="001C73FE" w:rsidRPr="00B94E33">
        <w:rPr>
          <w:lang w:val="fr-FR"/>
        </w:rPr>
        <w:t xml:space="preserve">après avoir entendu </w:t>
      </w:r>
      <w:r w:rsidR="000F4865" w:rsidRPr="00B94E33">
        <w:rPr>
          <w:lang w:val="fr-FR"/>
        </w:rPr>
        <w:t>d</w:t>
      </w:r>
      <w:r w:rsidR="001C73FE" w:rsidRPr="00B94E33">
        <w:rPr>
          <w:lang w:val="fr-FR"/>
        </w:rPr>
        <w:t>es témoins</w:t>
      </w:r>
      <w:r w:rsidR="00851CEC" w:rsidRPr="00B94E33">
        <w:rPr>
          <w:lang w:val="fr-FR"/>
        </w:rPr>
        <w:t xml:space="preserve"> </w:t>
      </w:r>
      <w:r w:rsidR="00450BF4" w:rsidRPr="00B94E33">
        <w:rPr>
          <w:lang w:val="fr-FR"/>
        </w:rPr>
        <w:t>ainsi que</w:t>
      </w:r>
      <w:r w:rsidR="001C73FE" w:rsidRPr="00B94E33">
        <w:rPr>
          <w:lang w:val="fr-FR"/>
        </w:rPr>
        <w:t xml:space="preserve"> la fille de la requérante, </w:t>
      </w:r>
      <w:r w:rsidR="000F4865" w:rsidRPr="00B94E33">
        <w:rPr>
          <w:lang w:val="fr-FR"/>
        </w:rPr>
        <w:t xml:space="preserve">estima que la requérante </w:t>
      </w:r>
      <w:r w:rsidR="001C73FE" w:rsidRPr="00B94E33">
        <w:rPr>
          <w:lang w:val="fr-FR"/>
        </w:rPr>
        <w:t>et se</w:t>
      </w:r>
      <w:r w:rsidR="003339A9" w:rsidRPr="00B94E33">
        <w:rPr>
          <w:lang w:val="fr-FR"/>
        </w:rPr>
        <w:t>s</w:t>
      </w:r>
      <w:r w:rsidR="001C73FE" w:rsidRPr="00B94E33">
        <w:rPr>
          <w:lang w:val="fr-FR"/>
        </w:rPr>
        <w:t xml:space="preserve"> </w:t>
      </w:r>
      <w:r w:rsidR="003339A9" w:rsidRPr="00B94E33">
        <w:rPr>
          <w:lang w:val="fr-FR"/>
        </w:rPr>
        <w:t>enfants</w:t>
      </w:r>
      <w:r w:rsidR="001C73FE" w:rsidRPr="00B94E33">
        <w:rPr>
          <w:lang w:val="fr-FR"/>
        </w:rPr>
        <w:t xml:space="preserve"> vivaient dans un climat de violence</w:t>
      </w:r>
      <w:r w:rsidR="000310CA" w:rsidRPr="00B94E33">
        <w:rPr>
          <w:lang w:val="fr-FR"/>
        </w:rPr>
        <w:t>s</w:t>
      </w:r>
      <w:r w:rsidR="001C73FE" w:rsidRPr="00B94E33">
        <w:rPr>
          <w:lang w:val="fr-FR"/>
        </w:rPr>
        <w:t xml:space="preserve">. </w:t>
      </w:r>
      <w:r w:rsidR="000F4865" w:rsidRPr="00B94E33">
        <w:rPr>
          <w:lang w:val="fr-FR"/>
        </w:rPr>
        <w:t>Il considéra que l</w:t>
      </w:r>
      <w:r w:rsidR="001C73FE" w:rsidRPr="00B94E33">
        <w:rPr>
          <w:lang w:val="fr-FR"/>
        </w:rPr>
        <w:t xml:space="preserve">a conduite </w:t>
      </w:r>
      <w:r w:rsidR="000F4865" w:rsidRPr="00B94E33">
        <w:rPr>
          <w:lang w:val="fr-FR"/>
        </w:rPr>
        <w:t xml:space="preserve">violente </w:t>
      </w:r>
      <w:r w:rsidR="001C73FE" w:rsidRPr="00B94E33">
        <w:rPr>
          <w:lang w:val="fr-FR"/>
        </w:rPr>
        <w:t>de A.T. était habituelle</w:t>
      </w:r>
      <w:r w:rsidR="000F4865" w:rsidRPr="00B94E33">
        <w:rPr>
          <w:lang w:val="fr-FR"/>
        </w:rPr>
        <w:t xml:space="preserve"> et</w:t>
      </w:r>
      <w:r w:rsidR="004A5744" w:rsidRPr="00B94E33">
        <w:rPr>
          <w:lang w:val="fr-FR"/>
        </w:rPr>
        <w:t xml:space="preserve"> jugea que,</w:t>
      </w:r>
      <w:r w:rsidR="001C73FE" w:rsidRPr="00B94E33">
        <w:rPr>
          <w:lang w:val="fr-FR"/>
        </w:rPr>
        <w:t xml:space="preserve"> les vexations journalières que la requérante subissait</w:t>
      </w:r>
      <w:r w:rsidR="000F4865" w:rsidRPr="00B94E33">
        <w:rPr>
          <w:lang w:val="fr-FR"/>
        </w:rPr>
        <w:t xml:space="preserve"> mises à part</w:t>
      </w:r>
      <w:r w:rsidR="001C73FE" w:rsidRPr="00B94E33">
        <w:rPr>
          <w:lang w:val="fr-FR"/>
        </w:rPr>
        <w:t xml:space="preserve">, </w:t>
      </w:r>
      <w:r w:rsidR="004A5744" w:rsidRPr="00B94E33">
        <w:rPr>
          <w:lang w:val="fr-FR"/>
        </w:rPr>
        <w:t>il</w:t>
      </w:r>
      <w:r w:rsidR="001C73FE" w:rsidRPr="00B94E33">
        <w:rPr>
          <w:lang w:val="fr-FR"/>
        </w:rPr>
        <w:t xml:space="preserve"> y avait eu quatre épisodes violents</w:t>
      </w:r>
      <w:r w:rsidR="000F4865" w:rsidRPr="00B94E33">
        <w:rPr>
          <w:lang w:val="fr-FR"/>
        </w:rPr>
        <w:t>.</w:t>
      </w:r>
      <w:r w:rsidR="001C73FE" w:rsidRPr="00B94E33">
        <w:rPr>
          <w:lang w:val="fr-FR"/>
        </w:rPr>
        <w:t xml:space="preserve"> </w:t>
      </w:r>
      <w:r w:rsidR="000F4865" w:rsidRPr="00B94E33">
        <w:rPr>
          <w:lang w:val="fr-FR"/>
        </w:rPr>
        <w:t xml:space="preserve">Il ajouta que </w:t>
      </w:r>
      <w:r w:rsidR="001C73FE" w:rsidRPr="00B94E33">
        <w:rPr>
          <w:lang w:val="fr-FR"/>
        </w:rPr>
        <w:t>A.T.</w:t>
      </w:r>
      <w:r w:rsidR="000F4865" w:rsidRPr="00B94E33">
        <w:rPr>
          <w:lang w:val="fr-FR"/>
        </w:rPr>
        <w:t>,</w:t>
      </w:r>
      <w:r w:rsidR="001C73FE" w:rsidRPr="00B94E33">
        <w:rPr>
          <w:lang w:val="fr-FR"/>
        </w:rPr>
        <w:t xml:space="preserve"> lors du procès</w:t>
      </w:r>
      <w:r w:rsidR="000F4865" w:rsidRPr="00B94E33">
        <w:rPr>
          <w:lang w:val="fr-FR"/>
        </w:rPr>
        <w:t>,</w:t>
      </w:r>
      <w:r w:rsidR="001C73FE" w:rsidRPr="00B94E33">
        <w:rPr>
          <w:lang w:val="fr-FR"/>
        </w:rPr>
        <w:t xml:space="preserve"> avait avoué </w:t>
      </w:r>
      <w:r w:rsidR="000F4865" w:rsidRPr="00B94E33">
        <w:rPr>
          <w:lang w:val="fr-FR"/>
        </w:rPr>
        <w:t>é</w:t>
      </w:r>
      <w:r w:rsidR="001C73FE" w:rsidRPr="00B94E33">
        <w:rPr>
          <w:lang w:val="fr-FR"/>
        </w:rPr>
        <w:t xml:space="preserve">prouver un sentiment de haine </w:t>
      </w:r>
      <w:r w:rsidR="00AE7935" w:rsidRPr="00B94E33">
        <w:rPr>
          <w:lang w:val="fr-FR"/>
        </w:rPr>
        <w:t>pour</w:t>
      </w:r>
      <w:r w:rsidR="004A5744" w:rsidRPr="00B94E33">
        <w:rPr>
          <w:lang w:val="fr-FR"/>
        </w:rPr>
        <w:t xml:space="preserve"> </w:t>
      </w:r>
      <w:r w:rsidR="001C73FE" w:rsidRPr="00B94E33">
        <w:rPr>
          <w:lang w:val="fr-FR"/>
        </w:rPr>
        <w:t xml:space="preserve">sa femme. Selon </w:t>
      </w:r>
      <w:r w:rsidR="000F4865" w:rsidRPr="00B94E33">
        <w:rPr>
          <w:lang w:val="fr-FR"/>
        </w:rPr>
        <w:t>l</w:t>
      </w:r>
      <w:r w:rsidR="004A5744" w:rsidRPr="00B94E33">
        <w:rPr>
          <w:lang w:val="fr-FR"/>
        </w:rPr>
        <w:t>e GUP</w:t>
      </w:r>
      <w:r w:rsidR="00A26882" w:rsidRPr="00B94E33">
        <w:rPr>
          <w:lang w:val="fr-FR"/>
        </w:rPr>
        <w:t xml:space="preserve">, </w:t>
      </w:r>
      <w:r w:rsidR="001C73FE" w:rsidRPr="00B94E33">
        <w:rPr>
          <w:lang w:val="fr-FR"/>
        </w:rPr>
        <w:t>les faits du 25</w:t>
      </w:r>
      <w:r w:rsidR="000F4865" w:rsidRPr="00B94E33">
        <w:rPr>
          <w:lang w:val="fr-FR"/>
        </w:rPr>
        <w:t> </w:t>
      </w:r>
      <w:r w:rsidR="001C73FE" w:rsidRPr="00B94E33">
        <w:rPr>
          <w:lang w:val="fr-FR"/>
        </w:rPr>
        <w:t>novembre</w:t>
      </w:r>
      <w:r w:rsidR="000F4865" w:rsidRPr="00B94E33">
        <w:rPr>
          <w:lang w:val="fr-FR"/>
        </w:rPr>
        <w:t xml:space="preserve"> 2013 </w:t>
      </w:r>
      <w:r w:rsidR="001C73FE" w:rsidRPr="00B94E33">
        <w:rPr>
          <w:lang w:val="fr-FR"/>
        </w:rPr>
        <w:t>étaient la conséquence de la tentative de la requérante de s</w:t>
      </w:r>
      <w:r w:rsidR="00B94E33" w:rsidRPr="00B94E33">
        <w:rPr>
          <w:lang w:val="fr-FR"/>
        </w:rPr>
        <w:t>’</w:t>
      </w:r>
      <w:r w:rsidR="001C73FE" w:rsidRPr="00B94E33">
        <w:rPr>
          <w:lang w:val="fr-FR"/>
        </w:rPr>
        <w:t xml:space="preserve">éloigner de </w:t>
      </w:r>
      <w:r w:rsidR="000F4865" w:rsidRPr="00B94E33">
        <w:rPr>
          <w:lang w:val="fr-FR"/>
        </w:rPr>
        <w:t>A.T</w:t>
      </w:r>
      <w:r w:rsidR="001C73FE" w:rsidRPr="00B94E33">
        <w:rPr>
          <w:lang w:val="fr-FR"/>
        </w:rPr>
        <w:t>.</w:t>
      </w:r>
    </w:p>
    <w:p w:rsidR="00871525" w:rsidRPr="00B94E33" w:rsidRDefault="00E943A9"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48</w:t>
      </w:r>
      <w:r w:rsidRPr="00B94E33">
        <w:rPr>
          <w:lang w:val="fr-FR"/>
        </w:rPr>
        <w:fldChar w:fldCharType="end"/>
      </w:r>
      <w:r w:rsidRPr="00B94E33">
        <w:rPr>
          <w:lang w:val="fr-FR"/>
        </w:rPr>
        <w:t>.  Le 22 mai 2015, A</w:t>
      </w:r>
      <w:r w:rsidR="00450BF4" w:rsidRPr="00B94E33">
        <w:rPr>
          <w:lang w:val="fr-FR"/>
        </w:rPr>
        <w:t xml:space="preserve">.T. interjeta appel du </w:t>
      </w:r>
      <w:r w:rsidR="00A26882" w:rsidRPr="00B94E33">
        <w:rPr>
          <w:lang w:val="fr-FR"/>
        </w:rPr>
        <w:t>jugement.</w:t>
      </w:r>
    </w:p>
    <w:p w:rsidR="00E943A9" w:rsidRPr="00B94E33" w:rsidRDefault="00715896" w:rsidP="00B94E33">
      <w:pPr>
        <w:pStyle w:val="ECHRPara"/>
        <w:rPr>
          <w:lang w:val="fr-FR"/>
        </w:rPr>
      </w:pPr>
      <w:r w:rsidRPr="00B94E33">
        <w:rPr>
          <w:lang w:val="fr-FR"/>
        </w:rPr>
        <w:t>Il ressort du dossier que</w:t>
      </w:r>
      <w:r w:rsidR="000F4865" w:rsidRPr="00B94E33">
        <w:rPr>
          <w:lang w:val="fr-FR"/>
        </w:rPr>
        <w:t>,</w:t>
      </w:r>
      <w:r w:rsidRPr="00B94E33">
        <w:rPr>
          <w:lang w:val="fr-FR"/>
        </w:rPr>
        <w:t xml:space="preserve"> p</w:t>
      </w:r>
      <w:r w:rsidR="00E943A9" w:rsidRPr="00B94E33">
        <w:rPr>
          <w:lang w:val="fr-FR"/>
        </w:rPr>
        <w:t xml:space="preserve">ar un arrêt du 26 février 2016, </w:t>
      </w:r>
      <w:r w:rsidRPr="00B94E33">
        <w:rPr>
          <w:lang w:val="fr-FR"/>
        </w:rPr>
        <w:t xml:space="preserve">le jugement du </w:t>
      </w:r>
      <w:r w:rsidR="00871525" w:rsidRPr="00B94E33">
        <w:rPr>
          <w:lang w:val="fr-FR"/>
        </w:rPr>
        <w:t>GUP</w:t>
      </w:r>
      <w:r w:rsidRPr="00B94E33">
        <w:rPr>
          <w:lang w:val="fr-FR"/>
        </w:rPr>
        <w:t xml:space="preserve"> </w:t>
      </w:r>
      <w:r w:rsidR="004A5744" w:rsidRPr="00B94E33">
        <w:rPr>
          <w:lang w:val="fr-FR"/>
        </w:rPr>
        <w:t>a été</w:t>
      </w:r>
      <w:r w:rsidRPr="00B94E33">
        <w:rPr>
          <w:lang w:val="fr-FR"/>
        </w:rPr>
        <w:t xml:space="preserve"> confirmé par la cour d</w:t>
      </w:r>
      <w:r w:rsidR="00B94E33" w:rsidRPr="00B94E33">
        <w:rPr>
          <w:lang w:val="fr-FR"/>
        </w:rPr>
        <w:t>’</w:t>
      </w:r>
      <w:r w:rsidRPr="00B94E33">
        <w:rPr>
          <w:lang w:val="fr-FR"/>
        </w:rPr>
        <w:t xml:space="preserve">appel. </w:t>
      </w:r>
      <w:r w:rsidR="004A5744" w:rsidRPr="00B94E33">
        <w:rPr>
          <w:lang w:val="fr-FR"/>
        </w:rPr>
        <w:t>A</w:t>
      </w:r>
      <w:r w:rsidRPr="00B94E33">
        <w:rPr>
          <w:lang w:val="fr-FR"/>
        </w:rPr>
        <w:t>ucune des parties n</w:t>
      </w:r>
      <w:r w:rsidR="00B94E33" w:rsidRPr="00B94E33">
        <w:rPr>
          <w:lang w:val="fr-FR"/>
        </w:rPr>
        <w:t>’</w:t>
      </w:r>
      <w:r w:rsidRPr="00B94E33">
        <w:rPr>
          <w:lang w:val="fr-FR"/>
        </w:rPr>
        <w:t xml:space="preserve">a </w:t>
      </w:r>
      <w:r w:rsidR="004A5744" w:rsidRPr="00B94E33">
        <w:rPr>
          <w:lang w:val="fr-FR"/>
        </w:rPr>
        <w:t xml:space="preserve">cependant </w:t>
      </w:r>
      <w:r w:rsidRPr="00B94E33">
        <w:rPr>
          <w:lang w:val="fr-FR"/>
        </w:rPr>
        <w:t>joint l</w:t>
      </w:r>
      <w:r w:rsidR="00B94E33" w:rsidRPr="00B94E33">
        <w:rPr>
          <w:lang w:val="fr-FR"/>
        </w:rPr>
        <w:t>’</w:t>
      </w:r>
      <w:r w:rsidRPr="00B94E33">
        <w:rPr>
          <w:lang w:val="fr-FR"/>
        </w:rPr>
        <w:t>arrêt à ses observations.</w:t>
      </w:r>
    </w:p>
    <w:p w:rsidR="00E943A9" w:rsidRPr="00B94E33" w:rsidRDefault="00E943A9" w:rsidP="00B94E33">
      <w:pPr>
        <w:pStyle w:val="ECHRHeading1"/>
        <w:rPr>
          <w:lang w:val="fr-FR"/>
        </w:rPr>
      </w:pPr>
      <w:r w:rsidRPr="00B94E33">
        <w:rPr>
          <w:lang w:val="fr-FR"/>
        </w:rPr>
        <w:t>II.  </w:t>
      </w:r>
      <w:r w:rsidR="00495AD0" w:rsidRPr="00B94E33">
        <w:rPr>
          <w:lang w:val="fr-FR"/>
        </w:rPr>
        <w:t xml:space="preserve">LE DROIT </w:t>
      </w:r>
      <w:r w:rsidR="00BB28BC" w:rsidRPr="00B94E33">
        <w:rPr>
          <w:lang w:val="fr-FR"/>
        </w:rPr>
        <w:t xml:space="preserve">ET LA PRATIQUE </w:t>
      </w:r>
      <w:r w:rsidR="00495AD0" w:rsidRPr="00B94E33">
        <w:rPr>
          <w:lang w:val="fr-FR"/>
        </w:rPr>
        <w:t>INTERNE PERTINENT</w:t>
      </w:r>
      <w:r w:rsidR="00BB28BC" w:rsidRPr="00B94E33">
        <w:rPr>
          <w:lang w:val="fr-FR"/>
        </w:rPr>
        <w:t>S</w:t>
      </w:r>
    </w:p>
    <w:p w:rsidR="00FE3DA4" w:rsidRPr="00B94E33" w:rsidRDefault="001D6A06" w:rsidP="00B94E33">
      <w:pPr>
        <w:pStyle w:val="ECHRPara"/>
        <w:rPr>
          <w:lang w:val="fr-FR"/>
        </w:rPr>
      </w:pPr>
      <w:r w:rsidRPr="00B94E33">
        <w:fldChar w:fldCharType="begin"/>
      </w:r>
      <w:r w:rsidRPr="00B94E33">
        <w:rPr>
          <w:lang w:val="fr-FR"/>
        </w:rPr>
        <w:instrText xml:space="preserve"> SEQ level0 \*arabic </w:instrText>
      </w:r>
      <w:r w:rsidRPr="00B94E33">
        <w:fldChar w:fldCharType="separate"/>
      </w:r>
      <w:r w:rsidR="00B94E33" w:rsidRPr="00B94E33">
        <w:rPr>
          <w:noProof/>
          <w:lang w:val="fr-FR"/>
        </w:rPr>
        <w:t>49</w:t>
      </w:r>
      <w:r w:rsidRPr="00B94E33">
        <w:rPr>
          <w:noProof/>
        </w:rPr>
        <w:fldChar w:fldCharType="end"/>
      </w:r>
      <w:r w:rsidR="00656914" w:rsidRPr="00B94E33">
        <w:rPr>
          <w:lang w:val="fr-FR"/>
        </w:rPr>
        <w:t>.  </w:t>
      </w:r>
      <w:r w:rsidR="00FE3DA4" w:rsidRPr="00B94E33">
        <w:rPr>
          <w:color w:val="000000"/>
          <w:lang w:val="fr-FR"/>
        </w:rPr>
        <w:t>Selon l</w:t>
      </w:r>
      <w:r w:rsidR="00B94E33" w:rsidRPr="00B94E33">
        <w:rPr>
          <w:color w:val="000000"/>
          <w:lang w:val="fr-FR"/>
        </w:rPr>
        <w:t>’</w:t>
      </w:r>
      <w:r w:rsidR="00FE3DA4" w:rsidRPr="00B94E33">
        <w:rPr>
          <w:color w:val="000000"/>
          <w:lang w:val="fr-FR"/>
        </w:rPr>
        <w:t>article 572 du code pénal (</w:t>
      </w:r>
      <w:r w:rsidR="00FE3DA4" w:rsidRPr="00B94E33">
        <w:rPr>
          <w:lang w:val="fr-FR"/>
        </w:rPr>
        <w:t>maltraitance familiale ou maltraitance sur mineur), toute personne qui maltraite une personne de sa famille, une personne avec laquelle elle vit ou qui est placée sous son autorité ou qui lui a été confiée pour des raisons d</w:t>
      </w:r>
      <w:r w:rsidR="00B94E33" w:rsidRPr="00B94E33">
        <w:rPr>
          <w:lang w:val="fr-FR"/>
        </w:rPr>
        <w:t>’</w:t>
      </w:r>
      <w:r w:rsidR="00FE3DA4" w:rsidRPr="00B94E33">
        <w:rPr>
          <w:lang w:val="fr-FR"/>
        </w:rPr>
        <w:t>éducation, de soins, de surveillance ou pour l</w:t>
      </w:r>
      <w:r w:rsidR="00B94E33" w:rsidRPr="00B94E33">
        <w:rPr>
          <w:lang w:val="fr-FR"/>
        </w:rPr>
        <w:t>’</w:t>
      </w:r>
      <w:r w:rsidR="00FE3DA4" w:rsidRPr="00B94E33">
        <w:rPr>
          <w:lang w:val="fr-FR"/>
        </w:rPr>
        <w:t>exercice d</w:t>
      </w:r>
      <w:r w:rsidR="00B94E33" w:rsidRPr="00B94E33">
        <w:rPr>
          <w:lang w:val="fr-FR"/>
        </w:rPr>
        <w:t>’</w:t>
      </w:r>
      <w:r w:rsidR="00FE3DA4" w:rsidRPr="00B94E33">
        <w:rPr>
          <w:lang w:val="fr-FR"/>
        </w:rPr>
        <w:t>une profession ou d</w:t>
      </w:r>
      <w:r w:rsidR="00B94E33" w:rsidRPr="00B94E33">
        <w:rPr>
          <w:lang w:val="fr-FR"/>
        </w:rPr>
        <w:t>’</w:t>
      </w:r>
      <w:r w:rsidR="00FE3DA4" w:rsidRPr="00B94E33">
        <w:rPr>
          <w:lang w:val="fr-FR"/>
        </w:rPr>
        <w:t>un art est punie de deux à six ans d</w:t>
      </w:r>
      <w:r w:rsidR="00B94E33" w:rsidRPr="00B94E33">
        <w:rPr>
          <w:lang w:val="fr-FR"/>
        </w:rPr>
        <w:t>’</w:t>
      </w:r>
      <w:r w:rsidR="00FE3DA4" w:rsidRPr="00B94E33">
        <w:rPr>
          <w:lang w:val="fr-FR"/>
        </w:rPr>
        <w:t>emprisonnement.</w:t>
      </w:r>
    </w:p>
    <w:p w:rsidR="00FE3DA4" w:rsidRPr="00B94E33" w:rsidRDefault="00FE3DA4"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50</w:t>
      </w:r>
      <w:r w:rsidRPr="00B94E33">
        <w:rPr>
          <w:lang w:val="fr-FR"/>
        </w:rPr>
        <w:fldChar w:fldCharType="end"/>
      </w:r>
      <w:r w:rsidRPr="00B94E33">
        <w:rPr>
          <w:lang w:val="fr-FR"/>
        </w:rPr>
        <w:t>.  L</w:t>
      </w:r>
      <w:r w:rsidR="00B94E33" w:rsidRPr="00B94E33">
        <w:rPr>
          <w:lang w:val="fr-FR"/>
        </w:rPr>
        <w:t>’</w:t>
      </w:r>
      <w:r w:rsidRPr="00B94E33">
        <w:rPr>
          <w:lang w:val="fr-FR"/>
        </w:rPr>
        <w:t>article 582 du code pénal établit que toute personne qui cause à autrui une lésion entraînant une infirmité physique ou mentale est punie de trois mois à dix ans d</w:t>
      </w:r>
      <w:r w:rsidR="00B94E33" w:rsidRPr="00B94E33">
        <w:rPr>
          <w:lang w:val="fr-FR"/>
        </w:rPr>
        <w:t>’</w:t>
      </w:r>
      <w:r w:rsidRPr="00B94E33">
        <w:rPr>
          <w:lang w:val="fr-FR"/>
        </w:rPr>
        <w:t>emprisonnement. Aux termes de l</w:t>
      </w:r>
      <w:r w:rsidR="00B94E33" w:rsidRPr="00B94E33">
        <w:rPr>
          <w:lang w:val="fr-FR"/>
        </w:rPr>
        <w:t>’</w:t>
      </w:r>
      <w:r w:rsidRPr="00B94E33">
        <w:rPr>
          <w:lang w:val="fr-FR"/>
        </w:rPr>
        <w:t>article 583 du code pénal, la lésion est considérée comme « grave » et est punie d</w:t>
      </w:r>
      <w:r w:rsidR="00B94E33" w:rsidRPr="00B94E33">
        <w:rPr>
          <w:lang w:val="fr-FR"/>
        </w:rPr>
        <w:t>’</w:t>
      </w:r>
      <w:r w:rsidRPr="00B94E33">
        <w:rPr>
          <w:lang w:val="fr-FR"/>
        </w:rPr>
        <w:t>une peine d</w:t>
      </w:r>
      <w:r w:rsidR="00B94E33" w:rsidRPr="00B94E33">
        <w:rPr>
          <w:lang w:val="fr-FR"/>
        </w:rPr>
        <w:t>’</w:t>
      </w:r>
      <w:r w:rsidRPr="00B94E33">
        <w:rPr>
          <w:lang w:val="fr-FR"/>
        </w:rPr>
        <w:t>emprisonnement de trois à sept ans lorsqu</w:t>
      </w:r>
      <w:r w:rsidR="00B94E33" w:rsidRPr="00B94E33">
        <w:rPr>
          <w:lang w:val="fr-FR"/>
        </w:rPr>
        <w:t>’</w:t>
      </w:r>
      <w:r w:rsidRPr="00B94E33">
        <w:rPr>
          <w:lang w:val="fr-FR"/>
        </w:rPr>
        <w:t>elle entraîne, notamment, une infirmité ou une incapacité temporaire supérieure à quarante jours.</w:t>
      </w:r>
    </w:p>
    <w:p w:rsidR="00FE3DA4" w:rsidRPr="00B94E33" w:rsidRDefault="00656914" w:rsidP="00B94E33">
      <w:pPr>
        <w:pStyle w:val="ECHRPara"/>
        <w:rPr>
          <w:lang w:val="fr-FR"/>
        </w:rPr>
      </w:pPr>
      <w:r w:rsidRPr="00B94E33">
        <w:fldChar w:fldCharType="begin"/>
      </w:r>
      <w:r w:rsidRPr="00B94E33">
        <w:rPr>
          <w:lang w:val="fr-FR"/>
        </w:rPr>
        <w:instrText xml:space="preserve"> SEQ level0 \*arabic </w:instrText>
      </w:r>
      <w:r w:rsidRPr="00B94E33">
        <w:fldChar w:fldCharType="separate"/>
      </w:r>
      <w:r w:rsidR="00B94E33" w:rsidRPr="00B94E33">
        <w:rPr>
          <w:noProof/>
          <w:lang w:val="fr-FR"/>
        </w:rPr>
        <w:t>51</w:t>
      </w:r>
      <w:r w:rsidRPr="00B94E33">
        <w:fldChar w:fldCharType="end"/>
      </w:r>
      <w:r w:rsidRPr="00B94E33">
        <w:rPr>
          <w:lang w:val="fr-FR"/>
        </w:rPr>
        <w:t>.  </w:t>
      </w:r>
      <w:r w:rsidR="00FE3DA4" w:rsidRPr="00B94E33">
        <w:rPr>
          <w:lang w:val="fr-FR"/>
        </w:rPr>
        <w:t>La loi n</w:t>
      </w:r>
      <w:r w:rsidR="00EF4E78" w:rsidRPr="00B94E33">
        <w:rPr>
          <w:vertAlign w:val="superscript"/>
          <w:lang w:val="fr-FR"/>
        </w:rPr>
        <w:t>o</w:t>
      </w:r>
      <w:r w:rsidR="00FE3DA4" w:rsidRPr="00B94E33">
        <w:rPr>
          <w:lang w:val="fr-FR"/>
        </w:rPr>
        <w:t> 38 du 23 avril 2009 de conversion du décret-loi 11 du 23</w:t>
      </w:r>
      <w:r w:rsidR="006F1FC8" w:rsidRPr="00B94E33">
        <w:rPr>
          <w:lang w:val="fr-FR"/>
        </w:rPr>
        <w:t> </w:t>
      </w:r>
      <w:r w:rsidR="00FE3DA4" w:rsidRPr="00B94E33">
        <w:rPr>
          <w:lang w:val="fr-FR"/>
        </w:rPr>
        <w:t xml:space="preserve"> février 2009 portant « </w:t>
      </w:r>
      <w:r w:rsidR="00FE3DA4" w:rsidRPr="00B94E33">
        <w:rPr>
          <w:iCs/>
          <w:lang w:val="fr-FR"/>
        </w:rPr>
        <w:t>mesures urgentes, en matière de sûreté publique, contre la violence sexuelle et tout ce qui concerne les actes de persécution </w:t>
      </w:r>
      <w:r w:rsidR="00FE3DA4" w:rsidRPr="00B94E33">
        <w:rPr>
          <w:lang w:val="fr-FR"/>
        </w:rPr>
        <w:t xml:space="preserve">», approuvant la </w:t>
      </w:r>
      <w:r w:rsidR="00FE3DA4" w:rsidRPr="00B94E33">
        <w:rPr>
          <w:iCs/>
          <w:lang w:val="fr-FR"/>
        </w:rPr>
        <w:t>« nécessité extraordinaire et urgente d</w:t>
      </w:r>
      <w:r w:rsidR="00B94E33" w:rsidRPr="00B94E33">
        <w:rPr>
          <w:iCs/>
          <w:lang w:val="fr-FR"/>
        </w:rPr>
        <w:t>’</w:t>
      </w:r>
      <w:r w:rsidR="00FE3DA4" w:rsidRPr="00B94E33">
        <w:rPr>
          <w:iCs/>
          <w:lang w:val="fr-FR"/>
        </w:rPr>
        <w:t>introduire des mesures pour assurer la plus grande protection à la sûreté et à la collectivité, en raison de l</w:t>
      </w:r>
      <w:r w:rsidR="00B94E33" w:rsidRPr="00B94E33">
        <w:rPr>
          <w:iCs/>
          <w:lang w:val="fr-FR"/>
        </w:rPr>
        <w:t>’</w:t>
      </w:r>
      <w:r w:rsidR="00FE3DA4" w:rsidRPr="00B94E33">
        <w:rPr>
          <w:iCs/>
          <w:lang w:val="fr-FR"/>
        </w:rPr>
        <w:t>augmentation alarmante du nombre d</w:t>
      </w:r>
      <w:r w:rsidR="00B94E33" w:rsidRPr="00B94E33">
        <w:rPr>
          <w:iCs/>
          <w:lang w:val="fr-FR"/>
        </w:rPr>
        <w:t>’</w:t>
      </w:r>
      <w:r w:rsidR="00FE3DA4" w:rsidRPr="00B94E33">
        <w:rPr>
          <w:iCs/>
          <w:lang w:val="fr-FR"/>
        </w:rPr>
        <w:t>épisodes de violences sexuelles »</w:t>
      </w:r>
      <w:r w:rsidR="00FE3DA4" w:rsidRPr="00B94E33">
        <w:rPr>
          <w:lang w:val="fr-FR"/>
        </w:rPr>
        <w:t>, a introduit, entre autres, un</w:t>
      </w:r>
      <w:r w:rsidR="00FE3DA4" w:rsidRPr="00B94E33">
        <w:rPr>
          <w:iCs/>
          <w:lang w:val="fr-FR"/>
        </w:rPr>
        <w:t xml:space="preserve"> </w:t>
      </w:r>
      <w:r w:rsidR="00FE3DA4" w:rsidRPr="00B94E33">
        <w:rPr>
          <w:lang w:val="fr-FR"/>
        </w:rPr>
        <w:t>nouveau crime en matière d</w:t>
      </w:r>
      <w:r w:rsidR="00B94E33" w:rsidRPr="00B94E33">
        <w:rPr>
          <w:lang w:val="fr-FR"/>
        </w:rPr>
        <w:t>’</w:t>
      </w:r>
      <w:r w:rsidR="00FE3DA4" w:rsidRPr="00B94E33">
        <w:rPr>
          <w:lang w:val="fr-FR"/>
        </w:rPr>
        <w:t>actes de persécution, appelé dans le langage courant « harcèlement », avec l</w:t>
      </w:r>
      <w:r w:rsidR="00B94E33" w:rsidRPr="00B94E33">
        <w:rPr>
          <w:lang w:val="fr-FR"/>
        </w:rPr>
        <w:t>’</w:t>
      </w:r>
      <w:r w:rsidR="00FE3DA4" w:rsidRPr="00B94E33">
        <w:rPr>
          <w:lang w:val="fr-FR"/>
        </w:rPr>
        <w:t>introduction dans le code pénal de l</w:t>
      </w:r>
      <w:r w:rsidR="00B94E33" w:rsidRPr="00B94E33">
        <w:rPr>
          <w:lang w:val="fr-FR"/>
        </w:rPr>
        <w:t>’</w:t>
      </w:r>
      <w:r w:rsidR="00FE3DA4" w:rsidRPr="00B94E33">
        <w:rPr>
          <w:lang w:val="fr-FR"/>
        </w:rPr>
        <w:t xml:space="preserve">article 612 </w:t>
      </w:r>
      <w:r w:rsidR="00FE3DA4" w:rsidRPr="00B94E33">
        <w:rPr>
          <w:i/>
          <w:lang w:val="fr-FR"/>
        </w:rPr>
        <w:t>bis</w:t>
      </w:r>
      <w:r w:rsidR="00FE3DA4" w:rsidRPr="00B94E33">
        <w:rPr>
          <w:lang w:val="fr-FR"/>
        </w:rPr>
        <w:t>.</w:t>
      </w:r>
    </w:p>
    <w:p w:rsidR="00FE3DA4" w:rsidRPr="00B94E33" w:rsidRDefault="00FE3DA4" w:rsidP="00B94E33">
      <w:pPr>
        <w:pStyle w:val="ECHRPara"/>
        <w:rPr>
          <w:lang w:val="fr-FR"/>
        </w:rPr>
      </w:pPr>
      <w:r w:rsidRPr="00B94E33">
        <w:rPr>
          <w:lang w:val="fr-FR"/>
        </w:rPr>
        <w:t>Il s</w:t>
      </w:r>
      <w:r w:rsidR="00B94E33" w:rsidRPr="00B94E33">
        <w:rPr>
          <w:lang w:val="fr-FR"/>
        </w:rPr>
        <w:t>’</w:t>
      </w:r>
      <w:r w:rsidRPr="00B94E33">
        <w:rPr>
          <w:lang w:val="fr-FR"/>
        </w:rPr>
        <w:t>agit d</w:t>
      </w:r>
      <w:r w:rsidR="00B94E33" w:rsidRPr="00B94E33">
        <w:rPr>
          <w:lang w:val="fr-FR"/>
        </w:rPr>
        <w:t>’</w:t>
      </w:r>
      <w:r w:rsidRPr="00B94E33">
        <w:rPr>
          <w:lang w:val="fr-FR"/>
        </w:rPr>
        <w:t>une disposition apte à sanctionner la répétition de comportements malveillants, qu</w:t>
      </w:r>
      <w:r w:rsidR="00B94E33" w:rsidRPr="00B94E33">
        <w:rPr>
          <w:lang w:val="fr-FR"/>
        </w:rPr>
        <w:t>’</w:t>
      </w:r>
      <w:r w:rsidRPr="00B94E33">
        <w:rPr>
          <w:lang w:val="fr-FR"/>
        </w:rPr>
        <w:t>ils se manifestent par des coups de téléphone à toute heure, des attentions répétées, une surveillance, des cadeaux non souhaités, des lettres ou des SMS, autrement dit par une variété d</w:t>
      </w:r>
      <w:r w:rsidR="00B94E33" w:rsidRPr="00B94E33">
        <w:rPr>
          <w:lang w:val="fr-FR"/>
        </w:rPr>
        <w:t>’</w:t>
      </w:r>
      <w:r w:rsidRPr="00B94E33">
        <w:rPr>
          <w:lang w:val="fr-FR"/>
        </w:rPr>
        <w:t xml:space="preserve">actes inoffensifs en apparence mais qui dégénèrent souvent en menaces, </w:t>
      </w:r>
      <w:r w:rsidRPr="00B94E33">
        <w:rPr>
          <w:lang w:val="fr-FR"/>
        </w:rPr>
        <w:lastRenderedPageBreak/>
        <w:t>pistages, présence inopportune près de l</w:t>
      </w:r>
      <w:r w:rsidR="00B94E33" w:rsidRPr="00B94E33">
        <w:rPr>
          <w:lang w:val="fr-FR"/>
        </w:rPr>
        <w:t>’</w:t>
      </w:r>
      <w:r w:rsidRPr="00B94E33">
        <w:rPr>
          <w:lang w:val="fr-FR"/>
        </w:rPr>
        <w:t>école ou au restaurant, qui engendrent chez la victime un état d</w:t>
      </w:r>
      <w:r w:rsidR="00B94E33" w:rsidRPr="00B94E33">
        <w:rPr>
          <w:lang w:val="fr-FR"/>
        </w:rPr>
        <w:t>’</w:t>
      </w:r>
      <w:r w:rsidRPr="00B94E33">
        <w:rPr>
          <w:lang w:val="fr-FR"/>
        </w:rPr>
        <w:t>anxiété et de peur pour sa propre intégrité, et qui, surtout, la forcent à modifier ses propres habitudes et ses choix de vie.</w:t>
      </w:r>
    </w:p>
    <w:p w:rsidR="00FE3DA4" w:rsidRPr="00B94E33" w:rsidRDefault="00FE3DA4" w:rsidP="00B94E33">
      <w:pPr>
        <w:pStyle w:val="ECHRPara"/>
        <w:rPr>
          <w:lang w:val="fr-FR"/>
        </w:rPr>
      </w:pPr>
      <w:r w:rsidRPr="00B94E33">
        <w:rPr>
          <w:lang w:val="fr-FR"/>
        </w:rPr>
        <w:t xml:space="preserve">La loi prévoit que, </w:t>
      </w:r>
      <w:r w:rsidRPr="00B94E33">
        <w:rPr>
          <w:rStyle w:val="Enfasigrassetto"/>
          <w:rFonts w:ascii="Times New Roman" w:hAnsi="Times New Roman" w:cs="Times New Roman"/>
          <w:b w:val="0"/>
          <w:bCs w:val="0"/>
          <w:szCs w:val="24"/>
          <w:lang w:val="fr-FR"/>
        </w:rPr>
        <w:t xml:space="preserve">avant de porter plainte, </w:t>
      </w:r>
      <w:r w:rsidRPr="00B94E33">
        <w:rPr>
          <w:lang w:val="fr-FR"/>
        </w:rPr>
        <w:t>la victime de harcèlement peut s</w:t>
      </w:r>
      <w:r w:rsidR="00B94E33" w:rsidRPr="00B94E33">
        <w:rPr>
          <w:lang w:val="fr-FR"/>
        </w:rPr>
        <w:t>’</w:t>
      </w:r>
      <w:r w:rsidRPr="00B94E33">
        <w:rPr>
          <w:lang w:val="fr-FR"/>
        </w:rPr>
        <w:t>adresser aux autorités de police et demander qu</w:t>
      </w:r>
      <w:r w:rsidR="00B94E33" w:rsidRPr="00B94E33">
        <w:rPr>
          <w:lang w:val="fr-FR"/>
        </w:rPr>
        <w:t>’</w:t>
      </w:r>
      <w:r w:rsidRPr="00B94E33">
        <w:rPr>
          <w:lang w:val="fr-FR"/>
        </w:rPr>
        <w:t>un avertissement soit adressé à l</w:t>
      </w:r>
      <w:r w:rsidR="00B94E33" w:rsidRPr="00B94E33">
        <w:rPr>
          <w:lang w:val="fr-FR"/>
        </w:rPr>
        <w:t>’</w:t>
      </w:r>
      <w:r w:rsidRPr="00B94E33">
        <w:rPr>
          <w:lang w:val="fr-FR"/>
        </w:rPr>
        <w:t>auteur des vexations. Après avoir recueilli les renseignements nécessaires, la police – si elle estime la demande fondée – avertit oralement l</w:t>
      </w:r>
      <w:r w:rsidR="00B94E33" w:rsidRPr="00B94E33">
        <w:rPr>
          <w:lang w:val="fr-FR"/>
        </w:rPr>
        <w:t>’</w:t>
      </w:r>
      <w:r w:rsidRPr="00B94E33">
        <w:rPr>
          <w:lang w:val="fr-FR"/>
        </w:rPr>
        <w:t>auteur des actes en question et rédige un procès-verbal.</w:t>
      </w:r>
    </w:p>
    <w:p w:rsidR="00FE3DA4" w:rsidRPr="00B94E33" w:rsidRDefault="00FE3DA4" w:rsidP="00B94E33">
      <w:pPr>
        <w:pStyle w:val="ECHRPara"/>
        <w:rPr>
          <w:lang w:val="fr-FR"/>
        </w:rPr>
      </w:pPr>
      <w:r w:rsidRPr="00B94E33">
        <w:rPr>
          <w:lang w:val="fr-FR"/>
        </w:rPr>
        <w:t>La loi établit, en outre, que les forces de l</w:t>
      </w:r>
      <w:r w:rsidR="00B94E33" w:rsidRPr="00B94E33">
        <w:rPr>
          <w:lang w:val="fr-FR"/>
        </w:rPr>
        <w:t>’</w:t>
      </w:r>
      <w:r w:rsidRPr="00B94E33">
        <w:rPr>
          <w:lang w:val="fr-FR"/>
        </w:rPr>
        <w:t>ordre, les opérateurs sanitaires et les institutions publiques qui apprennent l</w:t>
      </w:r>
      <w:r w:rsidR="00B94E33" w:rsidRPr="00B94E33">
        <w:rPr>
          <w:lang w:val="fr-FR"/>
        </w:rPr>
        <w:t>’</w:t>
      </w:r>
      <w:r w:rsidRPr="00B94E33">
        <w:rPr>
          <w:lang w:val="fr-FR"/>
        </w:rPr>
        <w:t>existence d</w:t>
      </w:r>
      <w:r w:rsidR="00B94E33" w:rsidRPr="00B94E33">
        <w:rPr>
          <w:lang w:val="fr-FR"/>
        </w:rPr>
        <w:t>’</w:t>
      </w:r>
      <w:r w:rsidRPr="00B94E33">
        <w:rPr>
          <w:lang w:val="fr-FR"/>
        </w:rPr>
        <w:t>actes de persécution doivent fournir à la victime tous les renseignements relatifs aux centres antiviolence présents sur le territoire et, en particulier, dans sa zone de résidence, et, si elle le demande, la mettre en contact avec les centres antiviolence (article 11).</w:t>
      </w:r>
    </w:p>
    <w:p w:rsidR="00FE3DA4" w:rsidRPr="00B94E33" w:rsidRDefault="00FE3DA4" w:rsidP="00B94E33">
      <w:pPr>
        <w:pStyle w:val="ECHRPara"/>
        <w:rPr>
          <w:lang w:val="fr-FR"/>
        </w:rPr>
      </w:pPr>
      <w:r w:rsidRPr="00B94E33">
        <w:rPr>
          <w:lang w:val="fr-FR"/>
        </w:rPr>
        <w:t>La nouvelle loi prévoit également un numéro vert national pour les victimes de harcèlement, qui permet à celles-ci de bénéficier d</w:t>
      </w:r>
      <w:r w:rsidR="00B94E33" w:rsidRPr="00B94E33">
        <w:rPr>
          <w:lang w:val="fr-FR"/>
        </w:rPr>
        <w:t>’</w:t>
      </w:r>
      <w:r w:rsidRPr="00B94E33">
        <w:rPr>
          <w:lang w:val="fr-FR"/>
        </w:rPr>
        <w:t>une assistance psychologique et juridique et, si elles le souhaitent, de voir signaler aux forces de l</w:t>
      </w:r>
      <w:r w:rsidR="00B94E33" w:rsidRPr="00B94E33">
        <w:rPr>
          <w:lang w:val="fr-FR"/>
        </w:rPr>
        <w:t>’</w:t>
      </w:r>
      <w:r w:rsidRPr="00B94E33">
        <w:rPr>
          <w:lang w:val="fr-FR"/>
        </w:rPr>
        <w:t>ordre des violences faites aux femmes (article 12).</w:t>
      </w:r>
    </w:p>
    <w:p w:rsidR="00FE3DA4" w:rsidRPr="00B94E33" w:rsidRDefault="00FE3DA4" w:rsidP="00B94E33">
      <w:pPr>
        <w:pStyle w:val="ECHRPara"/>
        <w:rPr>
          <w:lang w:val="fr-FR"/>
        </w:rPr>
      </w:pPr>
      <w:r w:rsidRPr="00B94E33">
        <w:rPr>
          <w:lang w:val="fr-FR"/>
        </w:rPr>
        <w:t>Dans l</w:t>
      </w:r>
      <w:r w:rsidR="00B94E33" w:rsidRPr="00B94E33">
        <w:rPr>
          <w:lang w:val="fr-FR"/>
        </w:rPr>
        <w:t>’</w:t>
      </w:r>
      <w:r w:rsidRPr="00B94E33">
        <w:rPr>
          <w:lang w:val="fr-FR"/>
        </w:rPr>
        <w:t>attente du procès, le juge peut ordonner les mesures conservatoires « spécifiques » introduites dans le code de procédure pénale (CPP) par la loi n</w:t>
      </w:r>
      <w:r w:rsidR="00EF4E78" w:rsidRPr="00B94E33">
        <w:rPr>
          <w:vertAlign w:val="superscript"/>
          <w:lang w:val="fr-FR"/>
        </w:rPr>
        <w:t>o</w:t>
      </w:r>
      <w:r w:rsidRPr="00B94E33">
        <w:rPr>
          <w:lang w:val="fr-FR"/>
        </w:rPr>
        <w:t xml:space="preserve"> 154/2001, à savoir l</w:t>
      </w:r>
      <w:r w:rsidR="00B94E33" w:rsidRPr="00B94E33">
        <w:rPr>
          <w:lang w:val="fr-FR"/>
        </w:rPr>
        <w:t>’</w:t>
      </w:r>
      <w:r w:rsidRPr="00B94E33">
        <w:rPr>
          <w:lang w:val="fr-FR"/>
        </w:rPr>
        <w:t>éloignement immédiat du domicile familial et l</w:t>
      </w:r>
      <w:r w:rsidR="00B94E33" w:rsidRPr="00B94E33">
        <w:rPr>
          <w:lang w:val="fr-FR"/>
        </w:rPr>
        <w:t>’</w:t>
      </w:r>
      <w:r w:rsidRPr="00B94E33">
        <w:rPr>
          <w:lang w:val="fr-FR"/>
        </w:rPr>
        <w:t xml:space="preserve">interdiction de se rendre sur les lieux habituellement fréquentés par la victime ou par ses proches (article 282 </w:t>
      </w:r>
      <w:r w:rsidRPr="00B94E33">
        <w:rPr>
          <w:i/>
          <w:iCs/>
          <w:lang w:val="fr-FR"/>
        </w:rPr>
        <w:t xml:space="preserve">bis, ter, quater </w:t>
      </w:r>
      <w:r w:rsidRPr="00B94E33">
        <w:rPr>
          <w:lang w:val="fr-FR"/>
        </w:rPr>
        <w:t>du CPP).</w:t>
      </w:r>
    </w:p>
    <w:p w:rsidR="00FE3DA4" w:rsidRPr="00B94E33" w:rsidRDefault="00FE3DA4" w:rsidP="00B94E33">
      <w:pPr>
        <w:pStyle w:val="ECHRPara"/>
        <w:rPr>
          <w:lang w:val="fr-FR"/>
        </w:rPr>
      </w:pPr>
      <w:r w:rsidRPr="00B94E33">
        <w:rPr>
          <w:lang w:val="fr-FR"/>
        </w:rPr>
        <w:t>L</w:t>
      </w:r>
      <w:r w:rsidR="00B94E33" w:rsidRPr="00B94E33">
        <w:rPr>
          <w:lang w:val="fr-FR"/>
        </w:rPr>
        <w:t>’</w:t>
      </w:r>
      <w:r w:rsidRPr="00B94E33">
        <w:rPr>
          <w:lang w:val="fr-FR"/>
        </w:rPr>
        <w:t>article 9 de la loi susmentionnée prescrit l</w:t>
      </w:r>
      <w:r w:rsidR="00B94E33" w:rsidRPr="00B94E33">
        <w:rPr>
          <w:lang w:val="fr-FR"/>
        </w:rPr>
        <w:t>’</w:t>
      </w:r>
      <w:r w:rsidRPr="00B94E33">
        <w:rPr>
          <w:lang w:val="fr-FR"/>
        </w:rPr>
        <w:t>obligation de communiquer aux autorités de police les mesures d</w:t>
      </w:r>
      <w:r w:rsidR="00B94E33" w:rsidRPr="00B94E33">
        <w:rPr>
          <w:lang w:val="fr-FR"/>
        </w:rPr>
        <w:t>’</w:t>
      </w:r>
      <w:r w:rsidRPr="00B94E33">
        <w:rPr>
          <w:lang w:val="fr-FR"/>
        </w:rPr>
        <w:t>éloigne</w:t>
      </w:r>
      <w:r w:rsidR="009A4363" w:rsidRPr="00B94E33">
        <w:rPr>
          <w:lang w:val="fr-FR"/>
        </w:rPr>
        <w:t>ment de manière à ce que celles</w:t>
      </w:r>
      <w:r w:rsidR="009A4363" w:rsidRPr="00B94E33">
        <w:rPr>
          <w:lang w:val="fr-FR"/>
        </w:rPr>
        <w:noBreakHyphen/>
      </w:r>
      <w:r w:rsidRPr="00B94E33">
        <w:rPr>
          <w:lang w:val="fr-FR"/>
        </w:rPr>
        <w:t>ci prennent des mesures éventuelles concernant la détention d</w:t>
      </w:r>
      <w:r w:rsidR="00B94E33" w:rsidRPr="00B94E33">
        <w:rPr>
          <w:lang w:val="fr-FR"/>
        </w:rPr>
        <w:t>’</w:t>
      </w:r>
      <w:r w:rsidRPr="00B94E33">
        <w:rPr>
          <w:lang w:val="fr-FR"/>
        </w:rPr>
        <w:t xml:space="preserve">armes et de munitions (article 282 </w:t>
      </w:r>
      <w:r w:rsidRPr="00B94E33">
        <w:rPr>
          <w:i/>
          <w:iCs/>
          <w:lang w:val="fr-FR"/>
        </w:rPr>
        <w:t xml:space="preserve">quater </w:t>
      </w:r>
      <w:r w:rsidRPr="00B94E33">
        <w:rPr>
          <w:lang w:val="fr-FR"/>
        </w:rPr>
        <w:t>du CPP).</w:t>
      </w:r>
    </w:p>
    <w:p w:rsidR="00FE3DA4" w:rsidRPr="00B94E33" w:rsidRDefault="00FE3DA4" w:rsidP="00B94E33">
      <w:pPr>
        <w:pStyle w:val="ECHRPara"/>
        <w:rPr>
          <w:lang w:val="fr-FR"/>
        </w:rPr>
      </w:pPr>
      <w:r w:rsidRPr="00B94E33">
        <w:rPr>
          <w:lang w:val="fr-FR"/>
        </w:rPr>
        <w:t>La loi n</w:t>
      </w:r>
      <w:r w:rsidR="00EF4E78" w:rsidRPr="00B94E33">
        <w:rPr>
          <w:vertAlign w:val="superscript"/>
          <w:lang w:val="fr-FR"/>
        </w:rPr>
        <w:t>o</w:t>
      </w:r>
      <w:r w:rsidRPr="00B94E33">
        <w:rPr>
          <w:lang w:val="fr-FR"/>
        </w:rPr>
        <w:t xml:space="preserve"> 38 prévoit, pour les actes de harcèlement, une condamnation qui va de six mois à quatre ans de réclusion, et une peine plus forte si le fait a été commis par un conjoint, légalement séparé ou divorcé, ou par une personne ayant déjà fait l</w:t>
      </w:r>
      <w:r w:rsidR="00B94E33" w:rsidRPr="00B94E33">
        <w:rPr>
          <w:lang w:val="fr-FR"/>
        </w:rPr>
        <w:t>’</w:t>
      </w:r>
      <w:r w:rsidRPr="00B94E33">
        <w:rPr>
          <w:lang w:val="fr-FR"/>
        </w:rPr>
        <w:t>objet d</w:t>
      </w:r>
      <w:r w:rsidR="00B94E33" w:rsidRPr="00B94E33">
        <w:rPr>
          <w:lang w:val="fr-FR"/>
        </w:rPr>
        <w:t>’</w:t>
      </w:r>
      <w:r w:rsidRPr="00B94E33">
        <w:rPr>
          <w:lang w:val="fr-FR"/>
        </w:rPr>
        <w:t>un avertissement par le préfet de police. La peine est aggravée de 50 % lorsque l</w:t>
      </w:r>
      <w:r w:rsidR="00B94E33" w:rsidRPr="00B94E33">
        <w:rPr>
          <w:lang w:val="fr-FR"/>
        </w:rPr>
        <w:t>’</w:t>
      </w:r>
      <w:r w:rsidRPr="00B94E33">
        <w:rPr>
          <w:lang w:val="fr-FR"/>
        </w:rPr>
        <w:t>acte de harcèlement est commis sur un mineur, une femme enceinte ou une personne handicapée, ou lorsqu</w:t>
      </w:r>
      <w:r w:rsidR="00B94E33" w:rsidRPr="00B94E33">
        <w:rPr>
          <w:lang w:val="fr-FR"/>
        </w:rPr>
        <w:t>’</w:t>
      </w:r>
      <w:r w:rsidRPr="00B94E33">
        <w:rPr>
          <w:lang w:val="fr-FR"/>
        </w:rPr>
        <w:t>il est commis avec des armes.</w:t>
      </w:r>
    </w:p>
    <w:p w:rsidR="00FE3DA4" w:rsidRPr="00B94E33" w:rsidRDefault="00656914" w:rsidP="00B94E33">
      <w:pPr>
        <w:pStyle w:val="ECHRPara"/>
        <w:rPr>
          <w:rFonts w:eastAsia="Calibri"/>
          <w:lang w:val="fr-FR"/>
        </w:rPr>
      </w:pPr>
      <w:r w:rsidRPr="00B94E33">
        <w:fldChar w:fldCharType="begin"/>
      </w:r>
      <w:r w:rsidRPr="00B94E33">
        <w:rPr>
          <w:lang w:val="fr-FR"/>
        </w:rPr>
        <w:instrText xml:space="preserve"> SEQ level0 \*arabic </w:instrText>
      </w:r>
      <w:r w:rsidRPr="00B94E33">
        <w:fldChar w:fldCharType="separate"/>
      </w:r>
      <w:r w:rsidR="00B94E33" w:rsidRPr="00B94E33">
        <w:rPr>
          <w:noProof/>
          <w:lang w:val="fr-FR"/>
        </w:rPr>
        <w:t>52</w:t>
      </w:r>
      <w:r w:rsidRPr="00B94E33">
        <w:fldChar w:fldCharType="end"/>
      </w:r>
      <w:r w:rsidRPr="00B94E33">
        <w:rPr>
          <w:lang w:val="fr-FR"/>
        </w:rPr>
        <w:t>.  </w:t>
      </w:r>
      <w:r w:rsidR="00FE3DA4" w:rsidRPr="00B94E33">
        <w:rPr>
          <w:rFonts w:eastAsia="Calibri"/>
          <w:bCs/>
          <w:lang w:val="fr-FR"/>
        </w:rPr>
        <w:t>Le dispositif spécial et urgent des « ordres de protection »</w:t>
      </w:r>
      <w:r w:rsidR="00FE3DA4" w:rsidRPr="00B94E33">
        <w:rPr>
          <w:rFonts w:eastAsia="Calibri"/>
          <w:lang w:val="fr-FR"/>
        </w:rPr>
        <w:t xml:space="preserve"> </w:t>
      </w:r>
      <w:r w:rsidR="009A4363" w:rsidRPr="00B94E33">
        <w:rPr>
          <w:rFonts w:eastAsia="Calibri"/>
          <w:iCs/>
          <w:lang w:val="fr-FR"/>
        </w:rPr>
        <w:t>(article </w:t>
      </w:r>
      <w:r w:rsidR="00FE3DA4" w:rsidRPr="00B94E33">
        <w:rPr>
          <w:rFonts w:eastAsia="Calibri"/>
          <w:iCs/>
          <w:lang w:val="fr-FR"/>
        </w:rPr>
        <w:t xml:space="preserve">736 </w:t>
      </w:r>
      <w:r w:rsidR="00FE3DA4" w:rsidRPr="00B94E33">
        <w:rPr>
          <w:rFonts w:eastAsia="Calibri"/>
          <w:i/>
          <w:iCs/>
          <w:lang w:val="fr-FR"/>
        </w:rPr>
        <w:t>bis</w:t>
      </w:r>
      <w:r w:rsidR="00FE3DA4" w:rsidRPr="00B94E33">
        <w:rPr>
          <w:rFonts w:eastAsia="Calibri"/>
          <w:iCs/>
          <w:lang w:val="fr-FR"/>
        </w:rPr>
        <w:t xml:space="preserve"> du code de procédure civile et article 342 </w:t>
      </w:r>
      <w:r w:rsidR="00FE3DA4" w:rsidRPr="00B94E33">
        <w:rPr>
          <w:rFonts w:eastAsia="Calibri"/>
          <w:i/>
          <w:iCs/>
          <w:lang w:val="fr-FR"/>
        </w:rPr>
        <w:t>bis</w:t>
      </w:r>
      <w:r w:rsidR="00FE3DA4" w:rsidRPr="00B94E33">
        <w:rPr>
          <w:rFonts w:eastAsia="Calibri"/>
          <w:iCs/>
          <w:lang w:val="fr-FR"/>
        </w:rPr>
        <w:t xml:space="preserve"> et </w:t>
      </w:r>
      <w:r w:rsidR="00FE3DA4" w:rsidRPr="00B94E33">
        <w:rPr>
          <w:rFonts w:eastAsia="Calibri"/>
          <w:i/>
          <w:iCs/>
          <w:lang w:val="fr-FR"/>
        </w:rPr>
        <w:t>ter</w:t>
      </w:r>
      <w:r w:rsidR="00FE3DA4" w:rsidRPr="00B94E33">
        <w:rPr>
          <w:rFonts w:eastAsia="Calibri"/>
          <w:iCs/>
          <w:lang w:val="fr-FR"/>
        </w:rPr>
        <w:t xml:space="preserve"> du code civil)</w:t>
      </w:r>
      <w:r w:rsidR="007D714E" w:rsidRPr="00B94E33">
        <w:rPr>
          <w:rFonts w:eastAsia="Calibri"/>
          <w:iCs/>
          <w:lang w:val="fr-FR"/>
        </w:rPr>
        <w:t xml:space="preserve"> prévoit que</w:t>
      </w:r>
      <w:r w:rsidR="00FE3DA4" w:rsidRPr="00B94E33">
        <w:rPr>
          <w:rFonts w:eastAsia="Calibri"/>
          <w:iCs/>
          <w:lang w:val="fr-FR"/>
        </w:rPr>
        <w:t> :</w:t>
      </w:r>
    </w:p>
    <w:p w:rsidR="00FE3DA4" w:rsidRPr="00B94E33" w:rsidRDefault="00FE3DA4" w:rsidP="00B94E33">
      <w:pPr>
        <w:pStyle w:val="ECHRPara"/>
        <w:rPr>
          <w:rFonts w:eastAsia="Calibri"/>
          <w:lang w:val="fr-FR"/>
        </w:rPr>
      </w:pPr>
      <w:r w:rsidRPr="00B94E33">
        <w:rPr>
          <w:rFonts w:eastAsia="Calibri"/>
          <w:lang w:val="fr-FR"/>
        </w:rPr>
        <w:t xml:space="preserve">Le juge civil peut décider de </w:t>
      </w:r>
      <w:r w:rsidRPr="00B94E33">
        <w:rPr>
          <w:rFonts w:eastAsia="Calibri"/>
          <w:bCs/>
          <w:lang w:val="fr-FR"/>
        </w:rPr>
        <w:t>mesures d</w:t>
      </w:r>
      <w:r w:rsidR="00B94E33" w:rsidRPr="00B94E33">
        <w:rPr>
          <w:rFonts w:eastAsia="Calibri"/>
          <w:bCs/>
          <w:lang w:val="fr-FR"/>
        </w:rPr>
        <w:t>’</w:t>
      </w:r>
      <w:r w:rsidRPr="00B94E33">
        <w:rPr>
          <w:rFonts w:eastAsia="Calibri"/>
          <w:bCs/>
          <w:lang w:val="fr-FR"/>
        </w:rPr>
        <w:t>urgence pour empêcher la multiplication</w:t>
      </w:r>
      <w:r w:rsidRPr="00B94E33">
        <w:rPr>
          <w:rFonts w:eastAsia="Calibri"/>
          <w:lang w:val="fr-FR"/>
        </w:rPr>
        <w:t xml:space="preserve"> des comportements qui mettent à mal la sérénité familiale, qu</w:t>
      </w:r>
      <w:r w:rsidR="00B94E33" w:rsidRPr="00B94E33">
        <w:rPr>
          <w:rFonts w:eastAsia="Calibri"/>
          <w:lang w:val="fr-FR"/>
        </w:rPr>
        <w:t>’</w:t>
      </w:r>
      <w:r w:rsidRPr="00B94E33">
        <w:rPr>
          <w:rFonts w:eastAsia="Calibri"/>
          <w:lang w:val="fr-FR"/>
        </w:rPr>
        <w:t>il s</w:t>
      </w:r>
      <w:r w:rsidR="00B94E33" w:rsidRPr="00B94E33">
        <w:rPr>
          <w:rFonts w:eastAsia="Calibri"/>
          <w:lang w:val="fr-FR"/>
        </w:rPr>
        <w:t>’</w:t>
      </w:r>
      <w:r w:rsidRPr="00B94E33">
        <w:rPr>
          <w:rFonts w:eastAsia="Calibri"/>
          <w:lang w:val="fr-FR"/>
        </w:rPr>
        <w:t>agisse d</w:t>
      </w:r>
      <w:r w:rsidR="00B94E33" w:rsidRPr="00B94E33">
        <w:rPr>
          <w:rFonts w:eastAsia="Calibri"/>
          <w:lang w:val="fr-FR"/>
        </w:rPr>
        <w:t>’</w:t>
      </w:r>
      <w:r w:rsidRPr="00B94E33">
        <w:rPr>
          <w:rFonts w:eastAsia="Calibri"/>
          <w:lang w:val="fr-FR"/>
        </w:rPr>
        <w:t>un couple marié ou non. Le critère</w:t>
      </w:r>
      <w:r w:rsidRPr="00B94E33">
        <w:rPr>
          <w:rFonts w:eastAsia="Calibri"/>
          <w:bCs/>
          <w:lang w:val="fr-FR"/>
        </w:rPr>
        <w:t xml:space="preserve"> essentiel est la communauté de vie.</w:t>
      </w:r>
      <w:r w:rsidRPr="00B94E33">
        <w:rPr>
          <w:rFonts w:eastAsia="Calibri"/>
          <w:lang w:val="fr-FR"/>
        </w:rPr>
        <w:t xml:space="preserve"> La demande peut être formulée sans obligation d</w:t>
      </w:r>
      <w:r w:rsidR="00B94E33" w:rsidRPr="00B94E33">
        <w:rPr>
          <w:rFonts w:eastAsia="Calibri"/>
          <w:lang w:val="fr-FR"/>
        </w:rPr>
        <w:t>’</w:t>
      </w:r>
      <w:r w:rsidRPr="00B94E33">
        <w:rPr>
          <w:rFonts w:eastAsia="Calibri"/>
          <w:lang w:val="fr-FR"/>
        </w:rPr>
        <w:t>être assisté par un avocat. Le recours introductif devra spécifier le contenu de la mesure protectrice demandée. Il est possible de solliciter l</w:t>
      </w:r>
      <w:r w:rsidR="00B94E33" w:rsidRPr="00B94E33">
        <w:rPr>
          <w:rFonts w:eastAsia="Calibri"/>
          <w:lang w:val="fr-FR"/>
        </w:rPr>
        <w:t>’</w:t>
      </w:r>
      <w:r w:rsidRPr="00B94E33">
        <w:rPr>
          <w:rFonts w:eastAsia="Calibri"/>
          <w:lang w:val="fr-FR"/>
        </w:rPr>
        <w:t xml:space="preserve">intervention des </w:t>
      </w:r>
      <w:r w:rsidRPr="00B94E33">
        <w:rPr>
          <w:rFonts w:eastAsia="Calibri"/>
          <w:lang w:val="fr-FR"/>
        </w:rPr>
        <w:lastRenderedPageBreak/>
        <w:t>services sociaux et l</w:t>
      </w:r>
      <w:r w:rsidR="00B94E33" w:rsidRPr="00B94E33">
        <w:rPr>
          <w:rFonts w:eastAsia="Calibri"/>
          <w:lang w:val="fr-FR"/>
        </w:rPr>
        <w:t>’</w:t>
      </w:r>
      <w:r w:rsidRPr="00B94E33">
        <w:rPr>
          <w:rFonts w:eastAsia="Calibri"/>
          <w:lang w:val="fr-FR"/>
        </w:rPr>
        <w:t>accomplissement d</w:t>
      </w:r>
      <w:r w:rsidR="00B94E33" w:rsidRPr="00B94E33">
        <w:rPr>
          <w:rFonts w:eastAsia="Calibri"/>
          <w:lang w:val="fr-FR"/>
        </w:rPr>
        <w:t>’</w:t>
      </w:r>
      <w:r w:rsidRPr="00B94E33">
        <w:rPr>
          <w:rFonts w:eastAsia="Calibri"/>
          <w:lang w:val="fr-FR"/>
        </w:rPr>
        <w:t>expertises psychologiques ou médicales et d</w:t>
      </w:r>
      <w:r w:rsidR="00B94E33" w:rsidRPr="00B94E33">
        <w:rPr>
          <w:rFonts w:eastAsia="Calibri"/>
          <w:lang w:val="fr-FR"/>
        </w:rPr>
        <w:t>’</w:t>
      </w:r>
      <w:r w:rsidRPr="00B94E33">
        <w:rPr>
          <w:rFonts w:eastAsia="Calibri"/>
          <w:lang w:val="fr-FR"/>
        </w:rPr>
        <w:t>enquêtes patrimoniales.</w:t>
      </w:r>
    </w:p>
    <w:p w:rsidR="00EF4E78" w:rsidRPr="00B94E33" w:rsidRDefault="00FE3DA4" w:rsidP="00B94E33">
      <w:pPr>
        <w:pStyle w:val="ECHRPara"/>
        <w:rPr>
          <w:lang w:val="fr-FR"/>
        </w:rPr>
      </w:pPr>
      <w:r w:rsidRPr="00B94E33">
        <w:rPr>
          <w:rFonts w:eastAsia="Calibri"/>
          <w:lang w:val="fr-FR"/>
        </w:rPr>
        <w:t xml:space="preserve">Le juge peut adopter une ou plusieurs </w:t>
      </w:r>
      <w:r w:rsidRPr="00B94E33">
        <w:rPr>
          <w:rFonts w:eastAsia="Calibri"/>
          <w:bCs/>
          <w:lang w:val="fr-FR"/>
        </w:rPr>
        <w:t>mesures dénommées « ordres de protection »,</w:t>
      </w:r>
      <w:r w:rsidRPr="00B94E33">
        <w:rPr>
          <w:rFonts w:eastAsia="Calibri"/>
          <w:lang w:val="fr-FR"/>
        </w:rPr>
        <w:t xml:space="preserve"> visant à obtenir la cessation du comportement en cause, l</w:t>
      </w:r>
      <w:r w:rsidR="00B94E33" w:rsidRPr="00B94E33">
        <w:rPr>
          <w:rFonts w:eastAsia="Calibri"/>
          <w:lang w:val="fr-FR"/>
        </w:rPr>
        <w:t>’</w:t>
      </w:r>
      <w:r w:rsidRPr="00B94E33">
        <w:rPr>
          <w:rFonts w:eastAsia="Calibri"/>
          <w:lang w:val="fr-FR"/>
        </w:rPr>
        <w:t>éloignement du domicile familial, l</w:t>
      </w:r>
      <w:r w:rsidR="00B94E33" w:rsidRPr="00B94E33">
        <w:rPr>
          <w:rFonts w:eastAsia="Calibri"/>
          <w:lang w:val="fr-FR"/>
        </w:rPr>
        <w:t>’</w:t>
      </w:r>
      <w:r w:rsidRPr="00B94E33">
        <w:rPr>
          <w:rFonts w:eastAsia="Calibri"/>
          <w:lang w:val="fr-FR"/>
        </w:rPr>
        <w:t>interdiction d</w:t>
      </w:r>
      <w:r w:rsidR="00B94E33" w:rsidRPr="00B94E33">
        <w:rPr>
          <w:rFonts w:eastAsia="Calibri"/>
          <w:lang w:val="fr-FR"/>
        </w:rPr>
        <w:t>’</w:t>
      </w:r>
      <w:r w:rsidRPr="00B94E33">
        <w:rPr>
          <w:rFonts w:eastAsia="Calibri"/>
          <w:lang w:val="fr-FR"/>
        </w:rPr>
        <w:t>approcher les endroits fréquentés par la personne concernée et/ou le paiement d</w:t>
      </w:r>
      <w:r w:rsidR="00B94E33" w:rsidRPr="00B94E33">
        <w:rPr>
          <w:rFonts w:eastAsia="Calibri"/>
          <w:lang w:val="fr-FR"/>
        </w:rPr>
        <w:t>’</w:t>
      </w:r>
      <w:r w:rsidRPr="00B94E33">
        <w:rPr>
          <w:rFonts w:eastAsia="Calibri"/>
          <w:lang w:val="fr-FR"/>
        </w:rPr>
        <w:t>une pension aux personnes qui, dépourvues de moyens de subsistance, vivent sous le même toit. Dans sa décision, le juge détermine les modalités d</w:t>
      </w:r>
      <w:r w:rsidR="00B94E33" w:rsidRPr="00B94E33">
        <w:rPr>
          <w:rFonts w:eastAsia="Calibri"/>
          <w:lang w:val="fr-FR"/>
        </w:rPr>
        <w:t>’</w:t>
      </w:r>
      <w:r w:rsidRPr="00B94E33">
        <w:rPr>
          <w:rFonts w:eastAsia="Calibri"/>
          <w:lang w:val="fr-FR"/>
        </w:rPr>
        <w:t>exécution. En cas de survenance de difficultés lors de l</w:t>
      </w:r>
      <w:r w:rsidR="00B94E33" w:rsidRPr="00B94E33">
        <w:rPr>
          <w:rFonts w:eastAsia="Calibri"/>
          <w:lang w:val="fr-FR"/>
        </w:rPr>
        <w:t>’</w:t>
      </w:r>
      <w:r w:rsidRPr="00B94E33">
        <w:rPr>
          <w:rFonts w:eastAsia="Calibri"/>
          <w:lang w:val="fr-FR"/>
        </w:rPr>
        <w:t>exécution, il peut adopter des mesures complémentaires pour les résoudre. L</w:t>
      </w:r>
      <w:r w:rsidR="00B94E33" w:rsidRPr="00B94E33">
        <w:rPr>
          <w:rFonts w:eastAsia="Calibri"/>
          <w:lang w:val="fr-FR"/>
        </w:rPr>
        <w:t>’</w:t>
      </w:r>
      <w:r w:rsidRPr="00B94E33">
        <w:rPr>
          <w:rFonts w:eastAsia="Calibri"/>
          <w:lang w:val="fr-FR"/>
        </w:rPr>
        <w:t>intervention de la force publique peut être prévue, ainsi que celle de l</w:t>
      </w:r>
      <w:r w:rsidR="00B94E33" w:rsidRPr="00B94E33">
        <w:rPr>
          <w:rFonts w:eastAsia="Calibri"/>
          <w:lang w:val="fr-FR"/>
        </w:rPr>
        <w:t>’</w:t>
      </w:r>
      <w:r w:rsidRPr="00B94E33">
        <w:rPr>
          <w:rFonts w:eastAsia="Calibri"/>
          <w:lang w:val="fr-FR"/>
        </w:rPr>
        <w:t>officier sanitaire.</w:t>
      </w:r>
    </w:p>
    <w:p w:rsidR="008204E5" w:rsidRPr="00B94E33" w:rsidRDefault="00FE3DA4"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53</w:t>
      </w:r>
      <w:r w:rsidRPr="00B94E33">
        <w:rPr>
          <w:lang w:val="fr-FR"/>
        </w:rPr>
        <w:fldChar w:fldCharType="end"/>
      </w:r>
      <w:r w:rsidRPr="00B94E33">
        <w:rPr>
          <w:lang w:val="fr-FR"/>
        </w:rPr>
        <w:t>.  </w:t>
      </w:r>
      <w:r w:rsidR="002A3223" w:rsidRPr="00B94E33">
        <w:rPr>
          <w:lang w:val="fr-FR"/>
        </w:rPr>
        <w:t xml:space="preserve">La </w:t>
      </w:r>
      <w:r w:rsidR="00EC565C" w:rsidRPr="00B94E33">
        <w:rPr>
          <w:lang w:val="fr-FR"/>
        </w:rPr>
        <w:t xml:space="preserve">loi </w:t>
      </w:r>
      <w:r w:rsidR="002A3223" w:rsidRPr="00B94E33">
        <w:rPr>
          <w:lang w:val="fr-FR"/>
        </w:rPr>
        <w:t>n</w:t>
      </w:r>
      <w:r w:rsidR="008743BB" w:rsidRPr="00B94E33">
        <w:rPr>
          <w:vertAlign w:val="superscript"/>
          <w:lang w:val="fr-FR"/>
        </w:rPr>
        <w:t>o</w:t>
      </w:r>
      <w:r w:rsidR="002A3223" w:rsidRPr="00B94E33">
        <w:rPr>
          <w:lang w:val="fr-FR"/>
        </w:rPr>
        <w:t> 119 du 15 octobre 2013, (plan d</w:t>
      </w:r>
      <w:r w:rsidR="00B94E33" w:rsidRPr="00B94E33">
        <w:rPr>
          <w:lang w:val="fr-FR"/>
        </w:rPr>
        <w:t>’</w:t>
      </w:r>
      <w:r w:rsidR="002A3223" w:rsidRPr="00B94E33">
        <w:rPr>
          <w:lang w:val="fr-FR"/>
        </w:rPr>
        <w:t xml:space="preserve">action extraordinaire destiné à combattre la violence envers les femmes) </w:t>
      </w:r>
      <w:r w:rsidR="008204E5" w:rsidRPr="00B94E33">
        <w:rPr>
          <w:lang w:val="fr-FR"/>
        </w:rPr>
        <w:t>prévoit de mesures importantes axées sur les droits procéduraux des victimes de la violence domestique, d</w:t>
      </w:r>
      <w:r w:rsidR="00B94E33" w:rsidRPr="00B94E33">
        <w:rPr>
          <w:lang w:val="fr-FR"/>
        </w:rPr>
        <w:t>’</w:t>
      </w:r>
      <w:r w:rsidR="008204E5" w:rsidRPr="00B94E33">
        <w:rPr>
          <w:lang w:val="fr-FR"/>
        </w:rPr>
        <w:t>abus sexuel, d</w:t>
      </w:r>
      <w:r w:rsidR="00B94E33" w:rsidRPr="00B94E33">
        <w:rPr>
          <w:lang w:val="fr-FR"/>
        </w:rPr>
        <w:t>’</w:t>
      </w:r>
      <w:r w:rsidR="008204E5" w:rsidRPr="00B94E33">
        <w:rPr>
          <w:lang w:val="fr-FR"/>
        </w:rPr>
        <w:t>exploitation sexuelle et de harcèlement. Conformément aux nouvelles dispositions, le procureur et les forces de police ont l</w:t>
      </w:r>
      <w:r w:rsidR="00B94E33" w:rsidRPr="00B94E33">
        <w:rPr>
          <w:lang w:val="fr-FR"/>
        </w:rPr>
        <w:t>’</w:t>
      </w:r>
      <w:r w:rsidR="008204E5" w:rsidRPr="00B94E33">
        <w:rPr>
          <w:lang w:val="fr-FR"/>
        </w:rPr>
        <w:t>obligation légale d</w:t>
      </w:r>
      <w:r w:rsidR="00B94E33" w:rsidRPr="00B94E33">
        <w:rPr>
          <w:lang w:val="fr-FR"/>
        </w:rPr>
        <w:t>’</w:t>
      </w:r>
      <w:r w:rsidR="008204E5" w:rsidRPr="00B94E33">
        <w:rPr>
          <w:lang w:val="fr-FR"/>
        </w:rPr>
        <w:t>informer les victimes qu</w:t>
      </w:r>
      <w:r w:rsidR="00B94E33" w:rsidRPr="00B94E33">
        <w:rPr>
          <w:lang w:val="fr-FR"/>
        </w:rPr>
        <w:t>’</w:t>
      </w:r>
      <w:r w:rsidR="008204E5" w:rsidRPr="00B94E33">
        <w:rPr>
          <w:lang w:val="fr-FR"/>
        </w:rPr>
        <w:t>elles peuvent se faire représenter par un avocat lors de la procédure pénale et qu</w:t>
      </w:r>
      <w:r w:rsidR="00B94E33" w:rsidRPr="00B94E33">
        <w:rPr>
          <w:lang w:val="fr-FR"/>
        </w:rPr>
        <w:t>’</w:t>
      </w:r>
      <w:r w:rsidR="008204E5" w:rsidRPr="00B94E33">
        <w:rPr>
          <w:lang w:val="fr-FR"/>
        </w:rPr>
        <w:t>elles, ou leurs avocats, peuvent demander une audience protégée. Ils doivent également informer les victimes de la possibilité qui leur est offerte de bénéficier d</w:t>
      </w:r>
      <w:r w:rsidR="00B94E33" w:rsidRPr="00B94E33">
        <w:rPr>
          <w:lang w:val="fr-FR"/>
        </w:rPr>
        <w:t>’</w:t>
      </w:r>
      <w:r w:rsidR="008204E5" w:rsidRPr="00B94E33">
        <w:rPr>
          <w:lang w:val="fr-FR"/>
        </w:rPr>
        <w:t>une assistance juridique et des modalités d</w:t>
      </w:r>
      <w:r w:rsidR="00B94E33" w:rsidRPr="00B94E33">
        <w:rPr>
          <w:lang w:val="fr-FR"/>
        </w:rPr>
        <w:t>’</w:t>
      </w:r>
      <w:r w:rsidR="008204E5" w:rsidRPr="00B94E33">
        <w:rPr>
          <w:lang w:val="fr-FR"/>
        </w:rPr>
        <w:t>octroi de ce type d</w:t>
      </w:r>
      <w:r w:rsidR="00B94E33" w:rsidRPr="00B94E33">
        <w:rPr>
          <w:lang w:val="fr-FR"/>
        </w:rPr>
        <w:t>’</w:t>
      </w:r>
      <w:r w:rsidR="008204E5" w:rsidRPr="00B94E33">
        <w:rPr>
          <w:lang w:val="fr-FR"/>
        </w:rPr>
        <w:t>assistance.</w:t>
      </w:r>
    </w:p>
    <w:p w:rsidR="008204E5" w:rsidRPr="00B94E33" w:rsidRDefault="008204E5" w:rsidP="00B94E33">
      <w:pPr>
        <w:pStyle w:val="ECHRPara"/>
        <w:rPr>
          <w:lang w:val="fr-FR"/>
        </w:rPr>
      </w:pPr>
      <w:r w:rsidRPr="00B94E33">
        <w:rPr>
          <w:lang w:val="fr-FR"/>
        </w:rPr>
        <w:t>En outre, la loi prévoit que les enquêtes relatives aux crimes présumés soient menées dans un délai d</w:t>
      </w:r>
      <w:r w:rsidR="00B94E33" w:rsidRPr="00B94E33">
        <w:rPr>
          <w:lang w:val="fr-FR"/>
        </w:rPr>
        <w:t>’</w:t>
      </w:r>
      <w:r w:rsidRPr="00B94E33">
        <w:rPr>
          <w:lang w:val="fr-FR"/>
        </w:rPr>
        <w:t>un an à compter de la date du signalement à la police et que les permis de s</w:t>
      </w:r>
      <w:r w:rsidR="006B1D94" w:rsidRPr="00B94E33">
        <w:rPr>
          <w:lang w:val="fr-FR"/>
        </w:rPr>
        <w:t>é</w:t>
      </w:r>
      <w:r w:rsidRPr="00B94E33">
        <w:rPr>
          <w:lang w:val="fr-FR"/>
        </w:rPr>
        <w:t>jour des étrangers victimes de violence, y compris des migrants sans documents d</w:t>
      </w:r>
      <w:r w:rsidR="00B94E33" w:rsidRPr="00B94E33">
        <w:rPr>
          <w:lang w:val="fr-FR"/>
        </w:rPr>
        <w:t>’</w:t>
      </w:r>
      <w:r w:rsidRPr="00B94E33">
        <w:rPr>
          <w:lang w:val="fr-FR"/>
        </w:rPr>
        <w:t>identification, soient prolongés.</w:t>
      </w:r>
    </w:p>
    <w:p w:rsidR="008204E5" w:rsidRPr="00B94E33" w:rsidRDefault="008204E5" w:rsidP="00B94E33">
      <w:pPr>
        <w:pStyle w:val="ECHRPara"/>
        <w:rPr>
          <w:lang w:val="fr-FR"/>
        </w:rPr>
      </w:pPr>
      <w:r w:rsidRPr="00B94E33">
        <w:rPr>
          <w:lang w:val="fr-FR"/>
        </w:rPr>
        <w:t>La loi prévoit également la collecte structurée de données sur le phénomène, mises à jour régulièrement (au moins chaque année), y compris au moyen de la coordination des bases de données déjà établies.</w:t>
      </w:r>
    </w:p>
    <w:bookmarkStart w:id="11" w:name="para52"/>
    <w:p w:rsidR="00D20706" w:rsidRPr="00B94E33" w:rsidRDefault="00656914" w:rsidP="00B94E33">
      <w:pPr>
        <w:pStyle w:val="ECHRPara"/>
        <w:rPr>
          <w:lang w:val="fr-FR"/>
        </w:rPr>
      </w:pPr>
      <w:r w:rsidRPr="00B94E33">
        <w:fldChar w:fldCharType="begin"/>
      </w:r>
      <w:r w:rsidRPr="00B94E33">
        <w:rPr>
          <w:lang w:val="fr-FR"/>
        </w:rPr>
        <w:instrText xml:space="preserve"> SEQ level0 \*arabic </w:instrText>
      </w:r>
      <w:r w:rsidRPr="00B94E33">
        <w:fldChar w:fldCharType="separate"/>
      </w:r>
      <w:r w:rsidR="00B94E33" w:rsidRPr="00B94E33">
        <w:rPr>
          <w:noProof/>
          <w:lang w:val="fr-FR"/>
        </w:rPr>
        <w:t>54</w:t>
      </w:r>
      <w:r w:rsidRPr="00B94E33">
        <w:fldChar w:fldCharType="end"/>
      </w:r>
      <w:bookmarkEnd w:id="11"/>
      <w:r w:rsidRPr="00B94E33">
        <w:rPr>
          <w:lang w:val="fr-FR"/>
        </w:rPr>
        <w:t>.  </w:t>
      </w:r>
      <w:r w:rsidR="00FE3DA4" w:rsidRPr="00B94E33">
        <w:rPr>
          <w:lang w:val="fr-FR"/>
        </w:rPr>
        <w:t>Le projet de loi n</w:t>
      </w:r>
      <w:r w:rsidR="00FE3DA4" w:rsidRPr="00B94E33">
        <w:rPr>
          <w:vertAlign w:val="superscript"/>
          <w:lang w:val="fr-FR"/>
        </w:rPr>
        <w:t>o</w:t>
      </w:r>
      <w:r w:rsidR="00FE3DA4" w:rsidRPr="00B94E33">
        <w:rPr>
          <w:lang w:val="fr-FR"/>
        </w:rPr>
        <w:t> 724 portant « dispositions relatives à la promotion de la subjectivité féminine et à la lutte contre le fémicide » et la proposition de loi du sénat n</w:t>
      </w:r>
      <w:r w:rsidR="00FE3DA4" w:rsidRPr="00B94E33">
        <w:rPr>
          <w:vertAlign w:val="superscript"/>
          <w:lang w:val="fr-FR"/>
        </w:rPr>
        <w:t>o</w:t>
      </w:r>
      <w:r w:rsidR="00FE3DA4" w:rsidRPr="00B94E33">
        <w:rPr>
          <w:lang w:val="fr-FR"/>
        </w:rPr>
        <w:t> 764, dite « Introduction du délit de fémicide », sont à l</w:t>
      </w:r>
      <w:r w:rsidR="00B94E33" w:rsidRPr="00B94E33">
        <w:rPr>
          <w:lang w:val="fr-FR"/>
        </w:rPr>
        <w:t>’</w:t>
      </w:r>
      <w:r w:rsidR="00FE3DA4" w:rsidRPr="00B94E33">
        <w:rPr>
          <w:lang w:val="fr-FR"/>
        </w:rPr>
        <w:t>examen. Il y a lieu de mentionner à cet égard le projet de loi visant à contribuer à la réponse globale à la lutte contre la violence sexiste. Ce projet tend notamment à faire de la discrimination et de la violence sexistes des délits caractérisés.</w:t>
      </w:r>
    </w:p>
    <w:bookmarkStart w:id="12" w:name="para54istat"/>
    <w:p w:rsidR="00A67454" w:rsidRPr="00B94E33" w:rsidRDefault="002756CC" w:rsidP="00B94E33">
      <w:pPr>
        <w:pStyle w:val="ECHRPara"/>
        <w:rPr>
          <w:rFonts w:cstheme="minorHAnsi"/>
          <w:lang w:val="fr-FR"/>
        </w:rPr>
      </w:pPr>
      <w:r w:rsidRPr="00B94E33">
        <w:fldChar w:fldCharType="begin"/>
      </w:r>
      <w:r w:rsidRPr="00B94E33">
        <w:rPr>
          <w:lang w:val="fr-FR"/>
        </w:rPr>
        <w:instrText xml:space="preserve"> SEQ level0 \*arabic </w:instrText>
      </w:r>
      <w:r w:rsidRPr="00B94E33">
        <w:fldChar w:fldCharType="separate"/>
      </w:r>
      <w:r w:rsidR="00B94E33" w:rsidRPr="00B94E33">
        <w:rPr>
          <w:noProof/>
          <w:lang w:val="fr-FR"/>
        </w:rPr>
        <w:t>55</w:t>
      </w:r>
      <w:r w:rsidRPr="00B94E33">
        <w:fldChar w:fldCharType="end"/>
      </w:r>
      <w:bookmarkEnd w:id="12"/>
      <w:r w:rsidRPr="00B94E33">
        <w:rPr>
          <w:lang w:val="fr-FR"/>
        </w:rPr>
        <w:t>.  </w:t>
      </w:r>
      <w:r w:rsidR="0049330A" w:rsidRPr="00B94E33">
        <w:rPr>
          <w:lang w:val="fr-FR"/>
        </w:rPr>
        <w:t>Dans son Rapport</w:t>
      </w:r>
      <w:r w:rsidR="00A67454" w:rsidRPr="00B94E33">
        <w:rPr>
          <w:lang w:val="fr-FR"/>
        </w:rPr>
        <w:t xml:space="preserve"> “</w:t>
      </w:r>
      <w:r w:rsidR="0049330A" w:rsidRPr="00B94E33">
        <w:rPr>
          <w:lang w:val="fr-FR"/>
        </w:rPr>
        <w:t>La violence à l</w:t>
      </w:r>
      <w:r w:rsidR="00B94E33" w:rsidRPr="00B94E33">
        <w:rPr>
          <w:lang w:val="fr-FR"/>
        </w:rPr>
        <w:t>’</w:t>
      </w:r>
      <w:r w:rsidR="00BE486C" w:rsidRPr="00B94E33">
        <w:rPr>
          <w:lang w:val="fr-FR"/>
        </w:rPr>
        <w:t>égard</w:t>
      </w:r>
      <w:r w:rsidR="0049330A" w:rsidRPr="00B94E33">
        <w:rPr>
          <w:lang w:val="fr-FR"/>
        </w:rPr>
        <w:t xml:space="preserve"> des femmes</w:t>
      </w:r>
      <w:r w:rsidR="00A67454" w:rsidRPr="00B94E33">
        <w:rPr>
          <w:lang w:val="fr-FR"/>
        </w:rPr>
        <w:t xml:space="preserve">” (2014) </w:t>
      </w:r>
      <w:r w:rsidR="00BE486C" w:rsidRPr="00B94E33">
        <w:rPr>
          <w:rFonts w:cstheme="minorHAnsi"/>
          <w:lang w:val="fr-FR"/>
        </w:rPr>
        <w:t>l</w:t>
      </w:r>
      <w:r w:rsidR="00B94E33" w:rsidRPr="00B94E33">
        <w:rPr>
          <w:rFonts w:cstheme="minorHAnsi"/>
          <w:lang w:val="fr-FR"/>
        </w:rPr>
        <w:t>’</w:t>
      </w:r>
      <w:r w:rsidR="00BE486C" w:rsidRPr="00B94E33">
        <w:rPr>
          <w:rFonts w:cstheme="minorHAnsi"/>
          <w:lang w:val="fr-FR"/>
        </w:rPr>
        <w:t xml:space="preserve">Institut National de statistique </w:t>
      </w:r>
      <w:r w:rsidR="00A67454" w:rsidRPr="00B94E33">
        <w:rPr>
          <w:rFonts w:cstheme="minorHAnsi"/>
          <w:lang w:val="fr-FR"/>
        </w:rPr>
        <w:t xml:space="preserve">(ISTAT) </w:t>
      </w:r>
      <w:r w:rsidR="00BE486C" w:rsidRPr="00B94E33">
        <w:rPr>
          <w:rFonts w:cstheme="minorHAnsi"/>
          <w:lang w:val="fr-FR"/>
        </w:rPr>
        <w:t>a fourni des données statistiques</w:t>
      </w:r>
      <w:r w:rsidR="00A67454" w:rsidRPr="00B94E33">
        <w:rPr>
          <w:rFonts w:cstheme="minorHAnsi"/>
          <w:lang w:val="fr-FR"/>
        </w:rPr>
        <w:t xml:space="preserve"> </w:t>
      </w:r>
      <w:r w:rsidR="00BE486C" w:rsidRPr="00B94E33">
        <w:rPr>
          <w:rFonts w:cstheme="minorHAnsi"/>
          <w:lang w:val="fr-FR"/>
        </w:rPr>
        <w:t>concernant la violence à l</w:t>
      </w:r>
      <w:r w:rsidR="00B94E33" w:rsidRPr="00B94E33">
        <w:rPr>
          <w:rFonts w:cstheme="minorHAnsi"/>
          <w:lang w:val="fr-FR"/>
        </w:rPr>
        <w:t>’</w:t>
      </w:r>
      <w:r w:rsidR="00BE486C" w:rsidRPr="00B94E33">
        <w:rPr>
          <w:rFonts w:cstheme="minorHAnsi"/>
          <w:lang w:val="fr-FR"/>
        </w:rPr>
        <w:t>égard des femmes.</w:t>
      </w:r>
    </w:p>
    <w:p w:rsidR="00EF4E78" w:rsidRPr="00B94E33" w:rsidRDefault="009A4363" w:rsidP="00B94E33">
      <w:pPr>
        <w:pStyle w:val="ECHRParaQuote"/>
      </w:pPr>
      <w:r w:rsidRPr="00B94E33">
        <w:t>« </w:t>
      </w:r>
      <w:r w:rsidR="00A67454" w:rsidRPr="00B94E33">
        <w:t>Istat carried out the survey in 2014, on a</w:t>
      </w:r>
      <w:r w:rsidRPr="00B94E33">
        <w:t xml:space="preserve"> sample of 24,000 women aged 16</w:t>
      </w:r>
      <w:r w:rsidRPr="00B94E33">
        <w:noBreakHyphen/>
      </w:r>
      <w:r w:rsidR="00A67454" w:rsidRPr="00B94E33">
        <w:t>70.The results are to be widely disseminated also among migrant women. Istat carried out the survey in 2014, on a sample of 24,000 women aged 16-70. Estimates indicate the most affected foreign women for citizenship: Romania, Ukraine, Albania, Morocco, Moldavia, China.</w:t>
      </w:r>
    </w:p>
    <w:p w:rsidR="00EF4E78" w:rsidRPr="00B94E33" w:rsidRDefault="00A67454" w:rsidP="00B94E33">
      <w:pPr>
        <w:pStyle w:val="ECHRParaQuote"/>
      </w:pPr>
      <w:r w:rsidRPr="00B94E33">
        <w:lastRenderedPageBreak/>
        <w:t>More specifically, according to the second Istat survey, 6,788,000 women have been victims of some forms of violence, either physical or sexual, during their life, that is 31.5% of women aged 16-70. 20.2% has been victim of physical violence; 21% of sexual violence and 5.4% of the most serious forms of sexual violence such as rape and attempted rape: 652,000 women have been victims of rape; and 746,000 have been victims of attempted rape.</w:t>
      </w:r>
    </w:p>
    <w:p w:rsidR="00EF4E78" w:rsidRPr="00B94E33" w:rsidRDefault="00A67454" w:rsidP="00B94E33">
      <w:pPr>
        <w:pStyle w:val="ECHRParaQuote"/>
      </w:pPr>
      <w:r w:rsidRPr="00B94E33">
        <w:t>Further, foreign women are victims of sexual or physical violence on a scale similar to Italian women</w:t>
      </w:r>
      <w:r w:rsidR="00B94E33" w:rsidRPr="00B94E33">
        <w:t>’</w:t>
      </w:r>
      <w:r w:rsidRPr="00B94E33">
        <w:t>s: 31.3% and 31.5%, respectively. However, physical violence is more frequent among the foreign women (25.7% vs. 19.6%), while sexual violence is more common among Italian women (21.5% vs. 16.2%). Specifically, foreign women are more exposed to rape and attempted rape (7.7% vs. 5.1%) with Moldavians (37,3%), Romanians (33,9%) and Ukrainians (33,2%) who are the most affected ones. As for the author, current and former partners are those who commit the most serious crimes. 62.7% of rapes is committed by the current or the former partner while the authors of sexual assault in the majority of cases are unknown (76.8%).</w:t>
      </w:r>
    </w:p>
    <w:p w:rsidR="00EF4E78" w:rsidRPr="00B94E33" w:rsidRDefault="00A67454" w:rsidP="00B94E33">
      <w:pPr>
        <w:pStyle w:val="ECHRParaQuote"/>
      </w:pPr>
      <w:r w:rsidRPr="00B94E33">
        <w:t>As for the age of the victim, 10.6% of women have been victims of sexual violence prior to the age of 16. Considering VAW-cases against women with children who have been witnessed violence, the rate of children witnessing VAW cases rises to 65.2% compared to the 2006 figure (= 60.3%).</w:t>
      </w:r>
    </w:p>
    <w:p w:rsidR="00EF4E78" w:rsidRPr="00B94E33" w:rsidRDefault="00A67454" w:rsidP="00B94E33">
      <w:pPr>
        <w:pStyle w:val="ECHRParaQuote"/>
      </w:pPr>
      <w:r w:rsidRPr="00B94E33">
        <w:t>As for women</w:t>
      </w:r>
      <w:r w:rsidR="00B94E33" w:rsidRPr="00B94E33">
        <w:t>’</w:t>
      </w:r>
      <w:r w:rsidRPr="00B94E33">
        <w:t>s status, women separated or divorced are those far more exposes to physical or sexual violence (51.4% vs. 31.5% relating to all other cases).</w:t>
      </w:r>
    </w:p>
    <w:p w:rsidR="00EF4E78" w:rsidRPr="00B94E33" w:rsidRDefault="00A67454" w:rsidP="00B94E33">
      <w:pPr>
        <w:pStyle w:val="ECHRParaQuote"/>
      </w:pPr>
      <w:r w:rsidRPr="00B94E33">
        <w:t>It remains of great concern the situation of women with disabilities or diseases. 36% of the women with bad health conditions and 36.6% of those with serious limitations have been victims of physical or sexual violence. The risk to be exposed to rape or attempted rape doubles compared to women without any health problems (10% vs. 4.7%).</w:t>
      </w:r>
    </w:p>
    <w:p w:rsidR="00EF4E78" w:rsidRPr="00B94E33" w:rsidRDefault="00A67454" w:rsidP="00B94E33">
      <w:pPr>
        <w:pStyle w:val="ECHRParaQuote"/>
      </w:pPr>
      <w:r w:rsidRPr="00B94E33">
        <w:t>On a positive note, compared to the previous edition-2006, sexual and physical violence cases result to be reduced from 13.3% to 11.3%. This is the result of an increased awareness of existing protection tools by women in the first place and the public opinion at large, in addition to an overall social climate of condemnation and no mercy for such crimes.</w:t>
      </w:r>
    </w:p>
    <w:p w:rsidR="00EF4E78" w:rsidRPr="00B94E33" w:rsidRDefault="00A67454" w:rsidP="00B94E33">
      <w:pPr>
        <w:pStyle w:val="ECHRParaQuote"/>
      </w:pPr>
      <w:r w:rsidRPr="00B94E33">
        <w:t>More specifically, physical or sexual violence cases committed by a partner or a former partner is reduced (as for the former, from 5.1% to 4%; as for the latter, from 2.8% to 2%) as well as for cases of VAW perpetrated by non-partners (from 9% to 7.7%).</w:t>
      </w:r>
    </w:p>
    <w:p w:rsidR="00EF4E78" w:rsidRPr="00B94E33" w:rsidRDefault="00A67454" w:rsidP="00B94E33">
      <w:pPr>
        <w:pStyle w:val="ECHRParaQuote"/>
      </w:pPr>
      <w:r w:rsidRPr="00B94E33">
        <w:t>The decline is meaningful when considering cases among female students: it reduced from 17.1% to 11.9% in the event of former partners; from 5.3% to 2.4% in the event of current partner; and from 26.5% to 22%, in the event of a non-partner.</w:t>
      </w:r>
    </w:p>
    <w:p w:rsidR="00EF4E78" w:rsidRPr="00B94E33" w:rsidRDefault="00A67454" w:rsidP="00B94E33">
      <w:pPr>
        <w:pStyle w:val="ECHRParaQuote"/>
      </w:pPr>
      <w:r w:rsidRPr="00B94E33">
        <w:t>Significantly reduced are those cases of psychological violence committed by the current partner (from 42.3% to 26.4%), especially when they are not coupled with physical and sexual violence.</w:t>
      </w:r>
    </w:p>
    <w:p w:rsidR="00EF4E78" w:rsidRPr="00B94E33" w:rsidRDefault="00A67454" w:rsidP="00B94E33">
      <w:pPr>
        <w:pStyle w:val="ECHRParaQuote"/>
      </w:pPr>
      <w:r w:rsidRPr="00B94E33">
        <w:t>Women are far more aware that they have survived a crime (from 14.3% to 29.6% in case of violence by the partner) and it is reported far more often to the police (from 6.7% to 11.8%). More often, they talk about that with someone (from 67.8% to 75.9%) and look for professional help (from 2.4% to 4.9%). The same applies in the event of violence by a non-partner.</w:t>
      </w:r>
    </w:p>
    <w:p w:rsidR="00EF4E78" w:rsidRPr="00B94E33" w:rsidRDefault="00A67454" w:rsidP="00B94E33">
      <w:pPr>
        <w:pStyle w:val="ECHRParaQuote"/>
      </w:pPr>
      <w:r w:rsidRPr="00B94E33">
        <w:lastRenderedPageBreak/>
        <w:t>Compared to the 2006 edition, survivors are far more satisfied with the relevant work carried out by the police. In the event of violence from the current or the former partner, data show an increase from 9.9% to 28.5%.</w:t>
      </w:r>
    </w:p>
    <w:p w:rsidR="00EF4E78" w:rsidRPr="00B94E33" w:rsidRDefault="00A67454" w:rsidP="00B94E33">
      <w:pPr>
        <w:pStyle w:val="ECHRParaQuote"/>
      </w:pPr>
      <w:r w:rsidRPr="00B94E33">
        <w:t>Conversely, negative results emerge when considering cases of rape or attempted rape (1.2% in both editions).</w:t>
      </w:r>
    </w:p>
    <w:p w:rsidR="00A67454" w:rsidRPr="00B94E33" w:rsidRDefault="00A67454" w:rsidP="00B94E33">
      <w:pPr>
        <w:pStyle w:val="ECHRParaQuote"/>
      </w:pPr>
      <w:r w:rsidRPr="00B94E33">
        <w:t>The forms of violence are far more serious with an increase of those also victims of injuries (from 26.3% to 40.2% when the partner is the author); and an increased number of women that were fearing that their life was in danger (from 18.8% in 2006 to 34.5% in 2014). Also the forms of violence by a non-partner are more serious.</w:t>
      </w:r>
    </w:p>
    <w:p w:rsidR="00A67454" w:rsidRPr="00B94E33" w:rsidRDefault="00A67454" w:rsidP="00B94E33">
      <w:pPr>
        <w:pStyle w:val="ECHRParaQuote"/>
      </w:pPr>
      <w:r w:rsidRPr="00B94E33">
        <w:t xml:space="preserve">3, 466,000 women (=16.1%) have been victims of stalking during lifetime, of whom 1, 524,000 have been victims of their former partner; and 2,229,000 from other </w:t>
      </w:r>
      <w:r w:rsidR="009A4363" w:rsidRPr="00B94E33">
        <w:t>person that the former partner. »</w:t>
      </w:r>
    </w:p>
    <w:p w:rsidR="00395FA4" w:rsidRPr="00B94E33" w:rsidRDefault="00395FA4" w:rsidP="00B94E33">
      <w:pPr>
        <w:pStyle w:val="ECHRHeading1"/>
        <w:rPr>
          <w:lang w:val="fr-FR"/>
        </w:rPr>
      </w:pPr>
      <w:r w:rsidRPr="00B94E33">
        <w:rPr>
          <w:lang w:val="fr-FR"/>
        </w:rPr>
        <w:t>III. LE DROIT INTERNATIONAL PERTINENT</w:t>
      </w:r>
    </w:p>
    <w:bookmarkStart w:id="13" w:name="chambrecivile"/>
    <w:bookmarkStart w:id="14" w:name="direction"/>
    <w:bookmarkEnd w:id="13"/>
    <w:bookmarkEnd w:id="14"/>
    <w:p w:rsidR="00370918" w:rsidRPr="00B94E33" w:rsidRDefault="00746996" w:rsidP="00B94E33">
      <w:pPr>
        <w:pStyle w:val="ECHRPara"/>
        <w:rPr>
          <w:i/>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56</w:t>
      </w:r>
      <w:r w:rsidRPr="00B94E33">
        <w:rPr>
          <w:lang w:val="fr-FR"/>
        </w:rPr>
        <w:fldChar w:fldCharType="end"/>
      </w:r>
      <w:r w:rsidRPr="00B94E33">
        <w:rPr>
          <w:lang w:val="fr-FR"/>
        </w:rPr>
        <w:t>.  </w:t>
      </w:r>
      <w:r w:rsidRPr="00B94E33">
        <w:rPr>
          <w:rFonts w:eastAsia="Times New Roman"/>
          <w:lang w:val="fr-FR"/>
        </w:rPr>
        <w:t>Le droit international pertinent est décrit en partie dans l</w:t>
      </w:r>
      <w:r w:rsidR="00B94E33" w:rsidRPr="00B94E33">
        <w:rPr>
          <w:rFonts w:eastAsia="Times New Roman"/>
          <w:lang w:val="fr-FR"/>
        </w:rPr>
        <w:t>’</w:t>
      </w:r>
      <w:r w:rsidRPr="00B94E33">
        <w:rPr>
          <w:rFonts w:eastAsia="Times New Roman"/>
          <w:lang w:val="fr-FR"/>
        </w:rPr>
        <w:t xml:space="preserve">affaire </w:t>
      </w:r>
      <w:r w:rsidR="008047FF" w:rsidRPr="00B94E33">
        <w:rPr>
          <w:i/>
          <w:lang w:val="fr-FR"/>
        </w:rPr>
        <w:t>Opuz c. Turquie</w:t>
      </w:r>
      <w:r w:rsidR="008047FF" w:rsidRPr="00B94E33">
        <w:rPr>
          <w:lang w:val="fr-FR"/>
        </w:rPr>
        <w:t xml:space="preserve"> (n</w:t>
      </w:r>
      <w:r w:rsidR="008047FF" w:rsidRPr="00B94E33">
        <w:rPr>
          <w:vertAlign w:val="superscript"/>
          <w:lang w:val="fr-FR"/>
        </w:rPr>
        <w:t>o</w:t>
      </w:r>
      <w:r w:rsidR="008047FF" w:rsidRPr="00B94E33">
        <w:rPr>
          <w:lang w:val="fr-FR"/>
        </w:rPr>
        <w:t xml:space="preserve"> 33401/02, §§ </w:t>
      </w:r>
      <w:r w:rsidR="008047FF" w:rsidRPr="00B94E33">
        <w:rPr>
          <w:rFonts w:eastAsia="Times New Roman"/>
          <w:lang w:val="fr-FR"/>
        </w:rPr>
        <w:t>72-82</w:t>
      </w:r>
      <w:r w:rsidR="008047FF" w:rsidRPr="00B94E33">
        <w:rPr>
          <w:lang w:val="fr-FR"/>
        </w:rPr>
        <w:t>, CEDH 2009)</w:t>
      </w:r>
      <w:r w:rsidR="007565C1" w:rsidRPr="00B94E33">
        <w:rPr>
          <w:rFonts w:eastAsia="Times New Roman"/>
          <w:lang w:val="fr-FR"/>
        </w:rPr>
        <w:t xml:space="preserve"> et en partie dans </w:t>
      </w:r>
      <w:r w:rsidR="00370918" w:rsidRPr="00B94E33">
        <w:rPr>
          <w:rFonts w:eastAsia="Times New Roman"/>
          <w:lang w:val="fr-FR"/>
        </w:rPr>
        <w:t>l</w:t>
      </w:r>
      <w:r w:rsidR="00B94E33" w:rsidRPr="00B94E33">
        <w:rPr>
          <w:rFonts w:eastAsia="Times New Roman"/>
          <w:lang w:val="fr-FR"/>
        </w:rPr>
        <w:t>’</w:t>
      </w:r>
      <w:r w:rsidR="00370918" w:rsidRPr="00B94E33">
        <w:rPr>
          <w:rFonts w:eastAsia="Times New Roman"/>
          <w:lang w:val="fr-FR"/>
        </w:rPr>
        <w:t xml:space="preserve">affaire </w:t>
      </w:r>
      <w:r w:rsidR="00370918" w:rsidRPr="00B94E33">
        <w:rPr>
          <w:i/>
          <w:lang w:val="fr-FR"/>
        </w:rPr>
        <w:t xml:space="preserve">Rumor c. </w:t>
      </w:r>
      <w:r w:rsidR="008047FF" w:rsidRPr="00B94E33">
        <w:rPr>
          <w:i/>
          <w:lang w:val="fr-FR"/>
        </w:rPr>
        <w:t>Italie</w:t>
      </w:r>
      <w:r w:rsidR="008047FF" w:rsidRPr="00B94E33">
        <w:rPr>
          <w:snapToGrid w:val="0"/>
          <w:lang w:val="fr-FR"/>
        </w:rPr>
        <w:t xml:space="preserve"> </w:t>
      </w:r>
      <w:r w:rsidR="00370918" w:rsidRPr="00B94E33">
        <w:rPr>
          <w:snapToGrid w:val="0"/>
          <w:lang w:val="fr-FR"/>
        </w:rPr>
        <w:t>(</w:t>
      </w:r>
      <w:r w:rsidR="00370918" w:rsidRPr="00B94E33">
        <w:rPr>
          <w:lang w:val="fr-FR"/>
        </w:rPr>
        <w:t>n</w:t>
      </w:r>
      <w:r w:rsidR="00370918" w:rsidRPr="00B94E33">
        <w:rPr>
          <w:vertAlign w:val="superscript"/>
          <w:lang w:val="fr-FR"/>
        </w:rPr>
        <w:t>o</w:t>
      </w:r>
      <w:r w:rsidR="00370918" w:rsidRPr="00B94E33">
        <w:rPr>
          <w:lang w:val="fr-FR"/>
        </w:rPr>
        <w:t xml:space="preserve"> 72964/10</w:t>
      </w:r>
      <w:r w:rsidR="00370918" w:rsidRPr="00B94E33">
        <w:rPr>
          <w:snapToGrid w:val="0"/>
          <w:color w:val="000000"/>
          <w:lang w:val="fr-FR"/>
        </w:rPr>
        <w:t xml:space="preserve">, § </w:t>
      </w:r>
      <w:r w:rsidR="00AB1351" w:rsidRPr="00B94E33">
        <w:rPr>
          <w:snapToGrid w:val="0"/>
          <w:color w:val="000000"/>
          <w:lang w:val="fr-FR"/>
        </w:rPr>
        <w:t>31-35</w:t>
      </w:r>
      <w:r w:rsidR="00370918" w:rsidRPr="00B94E33">
        <w:rPr>
          <w:snapToGrid w:val="0"/>
          <w:color w:val="000000"/>
          <w:lang w:val="fr-FR"/>
        </w:rPr>
        <w:t xml:space="preserve">, 27 </w:t>
      </w:r>
      <w:r w:rsidR="00370918" w:rsidRPr="00B94E33">
        <w:rPr>
          <w:color w:val="000000"/>
          <w:lang w:val="fr-FR"/>
        </w:rPr>
        <w:t>mai</w:t>
      </w:r>
      <w:r w:rsidR="00370918" w:rsidRPr="00B94E33">
        <w:rPr>
          <w:snapToGrid w:val="0"/>
          <w:color w:val="000000"/>
          <w:lang w:val="fr-FR"/>
        </w:rPr>
        <w:t xml:space="preserve"> 2014).</w:t>
      </w:r>
    </w:p>
    <w:bookmarkStart w:id="15" w:name="para57"/>
    <w:p w:rsidR="00A6199F" w:rsidRPr="00B94E33" w:rsidRDefault="00A47B1E" w:rsidP="00B94E33">
      <w:pPr>
        <w:pStyle w:val="ECHRPara"/>
        <w:rPr>
          <w:i/>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57</w:t>
      </w:r>
      <w:r w:rsidRPr="00B94E33">
        <w:rPr>
          <w:lang w:val="fr-FR"/>
        </w:rPr>
        <w:fldChar w:fldCharType="end"/>
      </w:r>
      <w:bookmarkEnd w:id="15"/>
      <w:r w:rsidRPr="00B94E33">
        <w:rPr>
          <w:lang w:val="fr-FR"/>
        </w:rPr>
        <w:t>.  </w:t>
      </w:r>
      <w:r w:rsidR="007565C1" w:rsidRPr="00B94E33">
        <w:rPr>
          <w:lang w:val="fr-FR"/>
        </w:rPr>
        <w:t xml:space="preserve">Lors de sa </w:t>
      </w:r>
      <w:r w:rsidR="0056015B" w:rsidRPr="00B94E33">
        <w:rPr>
          <w:lang w:val="fr-FR"/>
        </w:rPr>
        <w:t>49</w:t>
      </w:r>
      <w:r w:rsidR="0056015B" w:rsidRPr="00B94E33">
        <w:rPr>
          <w:vertAlign w:val="superscript"/>
          <w:lang w:val="fr-FR"/>
        </w:rPr>
        <w:t>e</w:t>
      </w:r>
      <w:r w:rsidR="0056015B" w:rsidRPr="00B94E33">
        <w:rPr>
          <w:lang w:val="fr-FR"/>
        </w:rPr>
        <w:t xml:space="preserve"> </w:t>
      </w:r>
      <w:r w:rsidR="007565C1" w:rsidRPr="00B94E33">
        <w:rPr>
          <w:lang w:val="fr-FR"/>
        </w:rPr>
        <w:t xml:space="preserve">session, </w:t>
      </w:r>
      <w:r w:rsidR="0056015B" w:rsidRPr="00B94E33">
        <w:rPr>
          <w:lang w:val="fr-FR"/>
        </w:rPr>
        <w:t>qui s</w:t>
      </w:r>
      <w:r w:rsidR="00B94E33" w:rsidRPr="00B94E33">
        <w:rPr>
          <w:lang w:val="fr-FR"/>
        </w:rPr>
        <w:t>’</w:t>
      </w:r>
      <w:r w:rsidR="0056015B" w:rsidRPr="00B94E33">
        <w:rPr>
          <w:lang w:val="fr-FR"/>
        </w:rPr>
        <w:t xml:space="preserve">est tenue </w:t>
      </w:r>
      <w:r w:rsidR="007565C1" w:rsidRPr="00B94E33">
        <w:rPr>
          <w:lang w:val="fr-FR"/>
        </w:rPr>
        <w:t xml:space="preserve">du </w:t>
      </w:r>
      <w:r w:rsidRPr="00B94E33">
        <w:rPr>
          <w:lang w:val="fr-FR"/>
        </w:rPr>
        <w:t>11</w:t>
      </w:r>
      <w:r w:rsidR="008047FF" w:rsidRPr="00B94E33">
        <w:rPr>
          <w:lang w:val="fr-FR"/>
        </w:rPr>
        <w:t xml:space="preserve"> au </w:t>
      </w:r>
      <w:r w:rsidRPr="00B94E33">
        <w:rPr>
          <w:lang w:val="fr-FR"/>
        </w:rPr>
        <w:t>29</w:t>
      </w:r>
      <w:r w:rsidR="0056015B" w:rsidRPr="00B94E33">
        <w:rPr>
          <w:lang w:val="fr-FR"/>
        </w:rPr>
        <w:t> </w:t>
      </w:r>
      <w:r w:rsidR="007565C1" w:rsidRPr="00B94E33">
        <w:rPr>
          <w:lang w:val="fr-FR"/>
        </w:rPr>
        <w:t xml:space="preserve">juillet 2010, </w:t>
      </w:r>
      <w:r w:rsidR="00715896" w:rsidRPr="00B94E33">
        <w:rPr>
          <w:lang w:val="fr-FR"/>
        </w:rPr>
        <w:t>le Comité pour l</w:t>
      </w:r>
      <w:r w:rsidR="00B94E33" w:rsidRPr="00B94E33">
        <w:rPr>
          <w:lang w:val="fr-FR"/>
        </w:rPr>
        <w:t>’</w:t>
      </w:r>
      <w:r w:rsidR="00715896" w:rsidRPr="00B94E33">
        <w:rPr>
          <w:lang w:val="fr-FR"/>
        </w:rPr>
        <w:t>élimination de la discrimination à l</w:t>
      </w:r>
      <w:r w:rsidR="00B94E33" w:rsidRPr="00B94E33">
        <w:rPr>
          <w:lang w:val="fr-FR"/>
        </w:rPr>
        <w:t>’</w:t>
      </w:r>
      <w:r w:rsidR="00715896" w:rsidRPr="00B94E33">
        <w:rPr>
          <w:lang w:val="fr-FR"/>
        </w:rPr>
        <w:t>égard des femmes (</w:t>
      </w:r>
      <w:r w:rsidR="004A5744" w:rsidRPr="00B94E33">
        <w:rPr>
          <w:lang w:val="fr-FR"/>
        </w:rPr>
        <w:t>« </w:t>
      </w:r>
      <w:r w:rsidR="008047FF" w:rsidRPr="00B94E33">
        <w:rPr>
          <w:lang w:val="fr-FR"/>
        </w:rPr>
        <w:t>l</w:t>
      </w:r>
      <w:r w:rsidR="00715896" w:rsidRPr="00B94E33">
        <w:rPr>
          <w:lang w:val="fr-FR"/>
        </w:rPr>
        <w:t>e Comité de la CEDAW</w:t>
      </w:r>
      <w:r w:rsidR="004A5744" w:rsidRPr="00B94E33">
        <w:rPr>
          <w:lang w:val="fr-FR"/>
        </w:rPr>
        <w:t> »</w:t>
      </w:r>
      <w:r w:rsidR="00715896" w:rsidRPr="00B94E33">
        <w:rPr>
          <w:lang w:val="fr-FR"/>
        </w:rPr>
        <w:t xml:space="preserve">) </w:t>
      </w:r>
      <w:r w:rsidR="007565C1" w:rsidRPr="00B94E33">
        <w:rPr>
          <w:lang w:val="fr-FR"/>
        </w:rPr>
        <w:t xml:space="preserve">a adopté ses </w:t>
      </w:r>
      <w:r w:rsidR="008047FF" w:rsidRPr="00B94E33">
        <w:rPr>
          <w:lang w:val="fr-FR"/>
        </w:rPr>
        <w:t>o</w:t>
      </w:r>
      <w:r w:rsidR="007565C1" w:rsidRPr="00B94E33">
        <w:rPr>
          <w:lang w:val="fr-FR"/>
        </w:rPr>
        <w:t>bservations finales concernant l</w:t>
      </w:r>
      <w:r w:rsidR="00B94E33" w:rsidRPr="00B94E33">
        <w:rPr>
          <w:lang w:val="fr-FR"/>
        </w:rPr>
        <w:t>’</w:t>
      </w:r>
      <w:r w:rsidR="007565C1" w:rsidRPr="00B94E33">
        <w:rPr>
          <w:lang w:val="fr-FR"/>
        </w:rPr>
        <w:t>Italie, lesquelles peuvent se lire comme suit en leurs passages pertinents en l</w:t>
      </w:r>
      <w:r w:rsidR="00B94E33" w:rsidRPr="00B94E33">
        <w:rPr>
          <w:lang w:val="fr-FR"/>
        </w:rPr>
        <w:t>’</w:t>
      </w:r>
      <w:r w:rsidR="007565C1" w:rsidRPr="00B94E33">
        <w:rPr>
          <w:lang w:val="fr-FR"/>
        </w:rPr>
        <w:t>espèce</w:t>
      </w:r>
      <w:r w:rsidR="0056015B" w:rsidRPr="00B94E33">
        <w:rPr>
          <w:lang w:val="fr-FR"/>
        </w:rPr>
        <w:t> </w:t>
      </w:r>
      <w:r w:rsidR="007565C1" w:rsidRPr="00B94E33">
        <w:rPr>
          <w:lang w:val="fr-FR"/>
        </w:rPr>
        <w:t>:</w:t>
      </w:r>
    </w:p>
    <w:p w:rsidR="00A47B1E" w:rsidRPr="00B94E33" w:rsidRDefault="004D4AB3" w:rsidP="00B94E33">
      <w:pPr>
        <w:pStyle w:val="ECHRParaQuote"/>
        <w:rPr>
          <w:lang w:val="fr-FR"/>
        </w:rPr>
      </w:pPr>
      <w:r w:rsidRPr="00B94E33">
        <w:rPr>
          <w:lang w:val="fr-FR"/>
        </w:rPr>
        <w:t>« </w:t>
      </w:r>
      <w:r w:rsidR="00A47B1E" w:rsidRPr="00B94E33">
        <w:rPr>
          <w:lang w:val="fr-FR"/>
        </w:rPr>
        <w:t>26.</w:t>
      </w:r>
      <w:r w:rsidRPr="00B94E33">
        <w:rPr>
          <w:lang w:val="fr-FR"/>
        </w:rPr>
        <w:t>  </w:t>
      </w:r>
      <w:r w:rsidR="00A47B1E" w:rsidRPr="00B94E33">
        <w:rPr>
          <w:lang w:val="fr-FR"/>
        </w:rPr>
        <w:t>Le Comité salue l</w:t>
      </w:r>
      <w:r w:rsidR="00B94E33" w:rsidRPr="00B94E33">
        <w:rPr>
          <w:lang w:val="fr-FR"/>
        </w:rPr>
        <w:t>’</w:t>
      </w:r>
      <w:r w:rsidR="00A47B1E" w:rsidRPr="00B94E33">
        <w:rPr>
          <w:lang w:val="fr-FR"/>
        </w:rPr>
        <w:t>adoption de la loi n</w:t>
      </w:r>
      <w:r w:rsidR="00A47B1E" w:rsidRPr="00B94E33">
        <w:rPr>
          <w:vertAlign w:val="superscript"/>
          <w:lang w:val="fr-FR"/>
        </w:rPr>
        <w:t>o</w:t>
      </w:r>
      <w:r w:rsidR="00A47B1E" w:rsidRPr="00B94E33">
        <w:rPr>
          <w:lang w:val="fr-FR"/>
        </w:rPr>
        <w:t xml:space="preserve"> 11/2009, qui institue l</w:t>
      </w:r>
      <w:r w:rsidR="00B94E33" w:rsidRPr="00B94E33">
        <w:rPr>
          <w:lang w:val="fr-FR"/>
        </w:rPr>
        <w:t>’</w:t>
      </w:r>
      <w:r w:rsidR="00A47B1E" w:rsidRPr="00B94E33">
        <w:rPr>
          <w:lang w:val="fr-FR"/>
        </w:rPr>
        <w:t>infraction de harcèlement criminel et prévoit la mise en détention obligatoire des auteurs d</w:t>
      </w:r>
      <w:r w:rsidR="00B94E33" w:rsidRPr="00B94E33">
        <w:rPr>
          <w:lang w:val="fr-FR"/>
        </w:rPr>
        <w:t>’</w:t>
      </w:r>
      <w:r w:rsidR="00A47B1E" w:rsidRPr="00B94E33">
        <w:rPr>
          <w:lang w:val="fr-FR"/>
        </w:rPr>
        <w:t>actes de violence sexuelle, l</w:t>
      </w:r>
      <w:r w:rsidR="00B94E33" w:rsidRPr="00B94E33">
        <w:rPr>
          <w:lang w:val="fr-FR"/>
        </w:rPr>
        <w:t>’</w:t>
      </w:r>
      <w:r w:rsidR="00A47B1E" w:rsidRPr="00B94E33">
        <w:rPr>
          <w:lang w:val="fr-FR"/>
        </w:rPr>
        <w:t>adoption du Plan national de lutte contre la violence à l</w:t>
      </w:r>
      <w:r w:rsidR="00B94E33" w:rsidRPr="00B94E33">
        <w:rPr>
          <w:lang w:val="fr-FR"/>
        </w:rPr>
        <w:t>’</w:t>
      </w:r>
      <w:r w:rsidR="00A47B1E" w:rsidRPr="00B94E33">
        <w:rPr>
          <w:lang w:val="fr-FR"/>
        </w:rPr>
        <w:t>encontre des femmes et le harcèlement criminel, et la réalisation par l</w:t>
      </w:r>
      <w:r w:rsidR="00B94E33" w:rsidRPr="00B94E33">
        <w:rPr>
          <w:lang w:val="fr-FR"/>
        </w:rPr>
        <w:t>’</w:t>
      </w:r>
      <w:r w:rsidR="00A47B1E" w:rsidRPr="00B94E33">
        <w:rPr>
          <w:lang w:val="fr-FR"/>
        </w:rPr>
        <w:t>Institut national des statistiques (ISTAT) d</w:t>
      </w:r>
      <w:r w:rsidR="00B94E33" w:rsidRPr="00B94E33">
        <w:rPr>
          <w:lang w:val="fr-FR"/>
        </w:rPr>
        <w:t>’</w:t>
      </w:r>
      <w:r w:rsidR="00A47B1E" w:rsidRPr="00B94E33">
        <w:rPr>
          <w:lang w:val="fr-FR"/>
        </w:rPr>
        <w:t>une première vaste enquête sur les violences physiques, sexuelles et psychologiques subies par les femmes. En revanche, il reste préoccupé par la prévalence élevée des violences faites aux femmes et aux filles et par la persistance d</w:t>
      </w:r>
      <w:r w:rsidR="00B94E33" w:rsidRPr="00B94E33">
        <w:rPr>
          <w:lang w:val="fr-FR"/>
        </w:rPr>
        <w:t>’</w:t>
      </w:r>
      <w:r w:rsidR="00A47B1E" w:rsidRPr="00B94E33">
        <w:rPr>
          <w:lang w:val="fr-FR"/>
        </w:rPr>
        <w:t>attitudes socioculturelles de tolérance à l</w:t>
      </w:r>
      <w:r w:rsidR="00B94E33" w:rsidRPr="00B94E33">
        <w:rPr>
          <w:lang w:val="fr-FR"/>
        </w:rPr>
        <w:t>’</w:t>
      </w:r>
      <w:r w:rsidR="00A47B1E" w:rsidRPr="00B94E33">
        <w:rPr>
          <w:lang w:val="fr-FR"/>
        </w:rPr>
        <w:t>égard de la violence familiale. De plus, il déplore le manque de données sur les violences faites aux immigrées et aux femmes des communautés rom et sinti. En outre, il constate avec préoccupation qu</w:t>
      </w:r>
      <w:r w:rsidR="00B94E33" w:rsidRPr="00B94E33">
        <w:rPr>
          <w:lang w:val="fr-FR"/>
        </w:rPr>
        <w:t>’</w:t>
      </w:r>
      <w:r w:rsidR="00A47B1E" w:rsidRPr="00B94E33">
        <w:rPr>
          <w:lang w:val="fr-FR"/>
        </w:rPr>
        <w:t>un nombre élevé de femmes meurent assassinées par leur compagnon ou leur ancien compagnon (fémicides), ce qui peut laisser penser que les autorités de l</w:t>
      </w:r>
      <w:r w:rsidR="00B94E33" w:rsidRPr="00B94E33">
        <w:rPr>
          <w:lang w:val="fr-FR"/>
        </w:rPr>
        <w:t>’</w:t>
      </w:r>
      <w:r w:rsidR="00A47B1E" w:rsidRPr="00B94E33">
        <w:rPr>
          <w:lang w:val="fr-FR"/>
        </w:rPr>
        <w:t>État partie n</w:t>
      </w:r>
      <w:r w:rsidR="00B94E33" w:rsidRPr="00B94E33">
        <w:rPr>
          <w:lang w:val="fr-FR"/>
        </w:rPr>
        <w:t>’</w:t>
      </w:r>
      <w:r w:rsidR="00A47B1E" w:rsidRPr="00B94E33">
        <w:rPr>
          <w:lang w:val="fr-FR"/>
        </w:rPr>
        <w:t>en ont pas suffisamment fait pour protéger ces femmes. Conformément à sa recommandation générale n</w:t>
      </w:r>
      <w:r w:rsidR="00A47B1E" w:rsidRPr="00B94E33">
        <w:rPr>
          <w:vertAlign w:val="superscript"/>
          <w:lang w:val="fr-FR"/>
        </w:rPr>
        <w:t>o</w:t>
      </w:r>
      <w:r w:rsidR="00A47B1E" w:rsidRPr="00B94E33">
        <w:rPr>
          <w:lang w:val="fr-FR"/>
        </w:rPr>
        <w:t xml:space="preserve"> 19 (1992) sur la violence à l</w:t>
      </w:r>
      <w:r w:rsidR="00B94E33" w:rsidRPr="00B94E33">
        <w:rPr>
          <w:lang w:val="fr-FR"/>
        </w:rPr>
        <w:t>’</w:t>
      </w:r>
      <w:r w:rsidR="00A47B1E" w:rsidRPr="00B94E33">
        <w:rPr>
          <w:lang w:val="fr-FR"/>
        </w:rPr>
        <w:t>égard des femmes et aux positions qu</w:t>
      </w:r>
      <w:r w:rsidR="00B94E33" w:rsidRPr="00B94E33">
        <w:rPr>
          <w:lang w:val="fr-FR"/>
        </w:rPr>
        <w:t>’</w:t>
      </w:r>
      <w:r w:rsidR="00A47B1E" w:rsidRPr="00B94E33">
        <w:rPr>
          <w:lang w:val="fr-FR"/>
        </w:rPr>
        <w:t>il a adoptées dans le cadre des procédures prévues par le Protocole facultatif, le Comité invite instamment l</w:t>
      </w:r>
      <w:r w:rsidR="00B94E33" w:rsidRPr="00B94E33">
        <w:rPr>
          <w:lang w:val="fr-FR"/>
        </w:rPr>
        <w:t>’</w:t>
      </w:r>
      <w:r w:rsidR="00A47B1E" w:rsidRPr="00B94E33">
        <w:rPr>
          <w:lang w:val="fr-FR"/>
        </w:rPr>
        <w:t>État partie :</w:t>
      </w:r>
    </w:p>
    <w:p w:rsidR="00A47B1E" w:rsidRPr="00B94E33" w:rsidRDefault="00A47B1E" w:rsidP="00B94E33">
      <w:pPr>
        <w:pStyle w:val="ECHRParaQuote"/>
        <w:rPr>
          <w:lang w:val="fr-FR"/>
        </w:rPr>
      </w:pPr>
      <w:r w:rsidRPr="00B94E33">
        <w:rPr>
          <w:lang w:val="fr-FR"/>
        </w:rPr>
        <w:t>a</w:t>
      </w:r>
      <w:r w:rsidR="004A5744" w:rsidRPr="00B94E33">
        <w:rPr>
          <w:lang w:val="fr-FR"/>
        </w:rPr>
        <w:t>)  </w:t>
      </w:r>
      <w:r w:rsidR="00401E2A" w:rsidRPr="00B94E33">
        <w:rPr>
          <w:lang w:val="fr-FR"/>
        </w:rPr>
        <w:t>à</w:t>
      </w:r>
      <w:r w:rsidRPr="00B94E33">
        <w:rPr>
          <w:lang w:val="fr-FR"/>
        </w:rPr>
        <w:t xml:space="preserve"> privilégier des dispositifs exhaustifs de lutte contre les violences faites aux femmes dans le cercle familial et dans la société, en s</w:t>
      </w:r>
      <w:r w:rsidR="00B94E33" w:rsidRPr="00B94E33">
        <w:rPr>
          <w:lang w:val="fr-FR"/>
        </w:rPr>
        <w:t>’</w:t>
      </w:r>
      <w:r w:rsidRPr="00B94E33">
        <w:rPr>
          <w:lang w:val="fr-FR"/>
        </w:rPr>
        <w:t>intéressant notamment aux besoins des femmes fragilisées par une situation particulière telles que les membres des communautés rom et sinti, les migrantes, les femmes âgées et les handicapées</w:t>
      </w:r>
      <w:r w:rsidR="00401E2A" w:rsidRPr="00B94E33">
        <w:rPr>
          <w:lang w:val="fr-FR"/>
        </w:rPr>
        <w:t> </w:t>
      </w:r>
      <w:r w:rsidRPr="00B94E33">
        <w:rPr>
          <w:lang w:val="fr-FR"/>
        </w:rPr>
        <w:t>;</w:t>
      </w:r>
    </w:p>
    <w:p w:rsidR="00A47B1E" w:rsidRPr="00B94E33" w:rsidRDefault="00A47B1E" w:rsidP="00B94E33">
      <w:pPr>
        <w:pStyle w:val="ECHRParaQuote"/>
        <w:rPr>
          <w:lang w:val="fr-FR"/>
        </w:rPr>
      </w:pPr>
      <w:r w:rsidRPr="00B94E33">
        <w:rPr>
          <w:lang w:val="fr-FR"/>
        </w:rPr>
        <w:t>b</w:t>
      </w:r>
      <w:r w:rsidR="004A5744" w:rsidRPr="00B94E33">
        <w:rPr>
          <w:lang w:val="fr-FR"/>
        </w:rPr>
        <w:t>)  </w:t>
      </w:r>
      <w:r w:rsidR="00401E2A" w:rsidRPr="00B94E33">
        <w:rPr>
          <w:lang w:val="fr-FR"/>
        </w:rPr>
        <w:t>à</w:t>
      </w:r>
      <w:r w:rsidRPr="00B94E33">
        <w:rPr>
          <w:lang w:val="fr-FR"/>
        </w:rPr>
        <w:t xml:space="preserve"> assurer aux femmes victimes de violences une protection immédiate avec, notamment, l</w:t>
      </w:r>
      <w:r w:rsidR="00B94E33" w:rsidRPr="00B94E33">
        <w:rPr>
          <w:lang w:val="fr-FR"/>
        </w:rPr>
        <w:t>’</w:t>
      </w:r>
      <w:r w:rsidRPr="00B94E33">
        <w:rPr>
          <w:lang w:val="fr-FR"/>
        </w:rPr>
        <w:t>exclusion de l</w:t>
      </w:r>
      <w:r w:rsidR="00B94E33" w:rsidRPr="00B94E33">
        <w:rPr>
          <w:lang w:val="fr-FR"/>
        </w:rPr>
        <w:t>’</w:t>
      </w:r>
      <w:r w:rsidRPr="00B94E33">
        <w:rPr>
          <w:lang w:val="fr-FR"/>
        </w:rPr>
        <w:t>agresseur du domicile familial et une garantie d</w:t>
      </w:r>
      <w:r w:rsidR="00B94E33" w:rsidRPr="00B94E33">
        <w:rPr>
          <w:lang w:val="fr-FR"/>
        </w:rPr>
        <w:t>’</w:t>
      </w:r>
      <w:r w:rsidRPr="00B94E33">
        <w:rPr>
          <w:lang w:val="fr-FR"/>
        </w:rPr>
        <w:t>accès, pour les femmes, à des foyers d</w:t>
      </w:r>
      <w:r w:rsidR="00B94E33" w:rsidRPr="00B94E33">
        <w:rPr>
          <w:lang w:val="fr-FR"/>
        </w:rPr>
        <w:t>’</w:t>
      </w:r>
      <w:r w:rsidRPr="00B94E33">
        <w:rPr>
          <w:lang w:val="fr-FR"/>
        </w:rPr>
        <w:t>hébergement sûrs et correctement financés situés dans l</w:t>
      </w:r>
      <w:r w:rsidR="00B94E33" w:rsidRPr="00B94E33">
        <w:rPr>
          <w:lang w:val="fr-FR"/>
        </w:rPr>
        <w:t>’</w:t>
      </w:r>
      <w:r w:rsidRPr="00B94E33">
        <w:rPr>
          <w:lang w:val="fr-FR"/>
        </w:rPr>
        <w:t>ensemble du territoire ainsi qu</w:t>
      </w:r>
      <w:r w:rsidR="00B94E33" w:rsidRPr="00B94E33">
        <w:rPr>
          <w:lang w:val="fr-FR"/>
        </w:rPr>
        <w:t>’</w:t>
      </w:r>
      <w:r w:rsidRPr="00B94E33">
        <w:rPr>
          <w:lang w:val="fr-FR"/>
        </w:rPr>
        <w:t xml:space="preserve">à une aide juridique gratuite, à un accompagnement </w:t>
      </w:r>
      <w:r w:rsidRPr="00B94E33">
        <w:rPr>
          <w:lang w:val="fr-FR"/>
        </w:rPr>
        <w:lastRenderedPageBreak/>
        <w:t>psychosocial et à des recours suffisants, y compris sous forme de demandes d</w:t>
      </w:r>
      <w:r w:rsidR="00B94E33" w:rsidRPr="00B94E33">
        <w:rPr>
          <w:lang w:val="fr-FR"/>
        </w:rPr>
        <w:t>’</w:t>
      </w:r>
      <w:r w:rsidRPr="00B94E33">
        <w:rPr>
          <w:lang w:val="fr-FR"/>
        </w:rPr>
        <w:t>indemnisation</w:t>
      </w:r>
      <w:r w:rsidR="00401E2A" w:rsidRPr="00B94E33">
        <w:rPr>
          <w:lang w:val="fr-FR"/>
        </w:rPr>
        <w:t> </w:t>
      </w:r>
      <w:r w:rsidRPr="00B94E33">
        <w:rPr>
          <w:lang w:val="fr-FR"/>
        </w:rPr>
        <w:t>;</w:t>
      </w:r>
    </w:p>
    <w:p w:rsidR="00A47B1E" w:rsidRPr="00B94E33" w:rsidRDefault="00A47B1E" w:rsidP="00B94E33">
      <w:pPr>
        <w:pStyle w:val="ECHRParaQuote"/>
        <w:rPr>
          <w:lang w:val="fr-FR"/>
        </w:rPr>
      </w:pPr>
      <w:r w:rsidRPr="00B94E33">
        <w:rPr>
          <w:lang w:val="fr-FR"/>
        </w:rPr>
        <w:t>c</w:t>
      </w:r>
      <w:r w:rsidR="004A5744" w:rsidRPr="00B94E33">
        <w:rPr>
          <w:lang w:val="fr-FR"/>
        </w:rPr>
        <w:t>)  </w:t>
      </w:r>
      <w:r w:rsidR="00401E2A" w:rsidRPr="00B94E33">
        <w:rPr>
          <w:lang w:val="fr-FR"/>
        </w:rPr>
        <w:t>à</w:t>
      </w:r>
      <w:r w:rsidRPr="00B94E33">
        <w:rPr>
          <w:lang w:val="fr-FR"/>
        </w:rPr>
        <w:t xml:space="preserve"> veiller à ce que les fonctionnaires, et notamment les membres des forces de l</w:t>
      </w:r>
      <w:r w:rsidR="00B94E33" w:rsidRPr="00B94E33">
        <w:rPr>
          <w:lang w:val="fr-FR"/>
        </w:rPr>
        <w:t>’</w:t>
      </w:r>
      <w:r w:rsidRPr="00B94E33">
        <w:rPr>
          <w:lang w:val="fr-FR"/>
        </w:rPr>
        <w:t>ordre, le personnel judiciaire et les professionnels des services sanitaires, sociaux et éducatifs, soient systématiquement et pleinement sensibilisés à toutes les formes de violence à l</w:t>
      </w:r>
      <w:r w:rsidR="00B94E33" w:rsidRPr="00B94E33">
        <w:rPr>
          <w:lang w:val="fr-FR"/>
        </w:rPr>
        <w:t>’</w:t>
      </w:r>
      <w:r w:rsidRPr="00B94E33">
        <w:rPr>
          <w:lang w:val="fr-FR"/>
        </w:rPr>
        <w:t>encontre des femmes et des filles</w:t>
      </w:r>
      <w:r w:rsidR="00401E2A" w:rsidRPr="00B94E33">
        <w:rPr>
          <w:lang w:val="fr-FR"/>
        </w:rPr>
        <w:t> </w:t>
      </w:r>
      <w:r w:rsidRPr="00B94E33">
        <w:rPr>
          <w:lang w:val="fr-FR"/>
        </w:rPr>
        <w:t>;</w:t>
      </w:r>
    </w:p>
    <w:p w:rsidR="00A47B1E" w:rsidRPr="00B94E33" w:rsidRDefault="00A47B1E" w:rsidP="00B94E33">
      <w:pPr>
        <w:pStyle w:val="ECHRParaQuote"/>
        <w:rPr>
          <w:lang w:val="fr-FR"/>
        </w:rPr>
      </w:pPr>
      <w:r w:rsidRPr="00B94E33">
        <w:rPr>
          <w:lang w:val="fr-FR"/>
        </w:rPr>
        <w:t>d</w:t>
      </w:r>
      <w:r w:rsidR="004A5744" w:rsidRPr="00B94E33">
        <w:rPr>
          <w:lang w:val="fr-FR"/>
        </w:rPr>
        <w:t>)  </w:t>
      </w:r>
      <w:r w:rsidR="00401E2A" w:rsidRPr="00B94E33">
        <w:rPr>
          <w:lang w:val="fr-FR"/>
        </w:rPr>
        <w:t>à</w:t>
      </w:r>
      <w:r w:rsidRPr="00B94E33">
        <w:rPr>
          <w:lang w:val="fr-FR"/>
        </w:rPr>
        <w:t xml:space="preserve"> mieux recueillir les données relatives à toutes les formes de violence à l</w:t>
      </w:r>
      <w:r w:rsidR="00B94E33" w:rsidRPr="00B94E33">
        <w:rPr>
          <w:lang w:val="fr-FR"/>
        </w:rPr>
        <w:t>’</w:t>
      </w:r>
      <w:r w:rsidRPr="00B94E33">
        <w:rPr>
          <w:lang w:val="fr-FR"/>
        </w:rPr>
        <w:t>encontre des femmes, y compris la violence familiale, à améliorer la protection des victimes, à mieux poursuivre et sanctionner les auteurs de violences et à mener des enquêtes permettant d</w:t>
      </w:r>
      <w:r w:rsidR="00B94E33" w:rsidRPr="00B94E33">
        <w:rPr>
          <w:lang w:val="fr-FR"/>
        </w:rPr>
        <w:t>’</w:t>
      </w:r>
      <w:r w:rsidRPr="00B94E33">
        <w:rPr>
          <w:lang w:val="fr-FR"/>
        </w:rPr>
        <w:t>évaluer précisément la prévalence des violences subies par les femmes appartenant à des groupes défavorisés telles que les femmes des communautés rom et sinti, les migrantes, les femmes âgées et les handicapées</w:t>
      </w:r>
      <w:r w:rsidR="00401E2A" w:rsidRPr="00B94E33">
        <w:rPr>
          <w:lang w:val="fr-FR"/>
        </w:rPr>
        <w:t> </w:t>
      </w:r>
      <w:r w:rsidRPr="00B94E33">
        <w:rPr>
          <w:lang w:val="fr-FR"/>
        </w:rPr>
        <w:t>;</w:t>
      </w:r>
    </w:p>
    <w:p w:rsidR="00A47B1E" w:rsidRPr="00B94E33" w:rsidRDefault="00A47B1E" w:rsidP="00B94E33">
      <w:pPr>
        <w:pStyle w:val="ECHRParaQuote"/>
        <w:rPr>
          <w:lang w:val="fr-FR"/>
        </w:rPr>
      </w:pPr>
      <w:r w:rsidRPr="00B94E33">
        <w:rPr>
          <w:lang w:val="fr-FR"/>
        </w:rPr>
        <w:t>e)</w:t>
      </w:r>
      <w:r w:rsidR="004A5744" w:rsidRPr="00B94E33">
        <w:rPr>
          <w:lang w:val="fr-FR"/>
        </w:rPr>
        <w:t>  </w:t>
      </w:r>
      <w:r w:rsidR="00401E2A" w:rsidRPr="00B94E33">
        <w:rPr>
          <w:lang w:val="fr-FR"/>
        </w:rPr>
        <w:t>à</w:t>
      </w:r>
      <w:r w:rsidRPr="00B94E33">
        <w:rPr>
          <w:lang w:val="fr-FR"/>
        </w:rPr>
        <w:t xml:space="preserve"> continuer de mener dans les médias et dans les écoles, en collaboration avec un large éventail d</w:t>
      </w:r>
      <w:r w:rsidR="00B94E33" w:rsidRPr="00B94E33">
        <w:rPr>
          <w:lang w:val="fr-FR"/>
        </w:rPr>
        <w:t>’</w:t>
      </w:r>
      <w:r w:rsidRPr="00B94E33">
        <w:rPr>
          <w:lang w:val="fr-FR"/>
        </w:rPr>
        <w:t>acteurs, parmi lesquels les associations féminines et d</w:t>
      </w:r>
      <w:r w:rsidR="00B94E33" w:rsidRPr="00B94E33">
        <w:rPr>
          <w:lang w:val="fr-FR"/>
        </w:rPr>
        <w:t>’</w:t>
      </w:r>
      <w:r w:rsidRPr="00B94E33">
        <w:rPr>
          <w:lang w:val="fr-FR"/>
        </w:rPr>
        <w:t>autres organisations de la société civile, des campagnes de sensibilisation visant à rendre socialement inacceptable la violence à l</w:t>
      </w:r>
      <w:r w:rsidR="00B94E33" w:rsidRPr="00B94E33">
        <w:rPr>
          <w:lang w:val="fr-FR"/>
        </w:rPr>
        <w:t>’</w:t>
      </w:r>
      <w:r w:rsidRPr="00B94E33">
        <w:rPr>
          <w:lang w:val="fr-FR"/>
        </w:rPr>
        <w:t>encontre des femmes, et à informer le grand public des mesures de prévention existant face à cette violence</w:t>
      </w:r>
      <w:r w:rsidR="00401E2A" w:rsidRPr="00B94E33">
        <w:rPr>
          <w:lang w:val="fr-FR"/>
        </w:rPr>
        <w:t> </w:t>
      </w:r>
      <w:r w:rsidRPr="00B94E33">
        <w:rPr>
          <w:lang w:val="fr-FR"/>
        </w:rPr>
        <w:t>;</w:t>
      </w:r>
    </w:p>
    <w:p w:rsidR="00A47B1E" w:rsidRPr="00B94E33" w:rsidRDefault="00A47B1E" w:rsidP="00B94E33">
      <w:pPr>
        <w:pStyle w:val="ECHRParaQuote"/>
        <w:rPr>
          <w:lang w:val="fr-FR"/>
        </w:rPr>
      </w:pPr>
      <w:r w:rsidRPr="00B94E33">
        <w:rPr>
          <w:lang w:val="fr-FR"/>
        </w:rPr>
        <w:t>f)</w:t>
      </w:r>
      <w:r w:rsidR="004A5744" w:rsidRPr="00B94E33">
        <w:rPr>
          <w:lang w:val="fr-FR"/>
        </w:rPr>
        <w:t>  </w:t>
      </w:r>
      <w:r w:rsidR="00401E2A" w:rsidRPr="00B94E33">
        <w:rPr>
          <w:lang w:val="fr-FR"/>
        </w:rPr>
        <w:t>à</w:t>
      </w:r>
      <w:r w:rsidRPr="00B94E33">
        <w:rPr>
          <w:lang w:val="fr-FR"/>
        </w:rPr>
        <w:t xml:space="preserve"> ratifier dans les meilleurs délais la Convention du Conseil de l</w:t>
      </w:r>
      <w:r w:rsidR="00B94E33" w:rsidRPr="00B94E33">
        <w:rPr>
          <w:lang w:val="fr-FR"/>
        </w:rPr>
        <w:t>’</w:t>
      </w:r>
      <w:r w:rsidRPr="00B94E33">
        <w:rPr>
          <w:lang w:val="fr-FR"/>
        </w:rPr>
        <w:t>Europe sur la prévention et la lutte contre la violence à l</w:t>
      </w:r>
      <w:r w:rsidR="00B94E33" w:rsidRPr="00B94E33">
        <w:rPr>
          <w:lang w:val="fr-FR"/>
        </w:rPr>
        <w:t>’</w:t>
      </w:r>
      <w:r w:rsidRPr="00B94E33">
        <w:rPr>
          <w:lang w:val="fr-FR"/>
        </w:rPr>
        <w:t>égard des femmes et la violence domestique.</w:t>
      </w:r>
      <w:r w:rsidR="004A5744" w:rsidRPr="00B94E33">
        <w:rPr>
          <w:lang w:val="fr-FR"/>
        </w:rPr>
        <w:t> »</w:t>
      </w:r>
    </w:p>
    <w:bookmarkStart w:id="16" w:name="para62"/>
    <w:p w:rsidR="00A47B1E" w:rsidRPr="00B94E33" w:rsidRDefault="00A47B1E" w:rsidP="00B94E33">
      <w:pPr>
        <w:pStyle w:val="ECHRPara"/>
        <w:rPr>
          <w:lang w:val="fr-FR"/>
        </w:rPr>
      </w:pPr>
      <w:r w:rsidRPr="00B94E33">
        <w:fldChar w:fldCharType="begin"/>
      </w:r>
      <w:r w:rsidRPr="00B94E33">
        <w:rPr>
          <w:lang w:val="fr-FR"/>
        </w:rPr>
        <w:instrText xml:space="preserve"> SEQ level0 \*arabic </w:instrText>
      </w:r>
      <w:r w:rsidRPr="00B94E33">
        <w:fldChar w:fldCharType="separate"/>
      </w:r>
      <w:r w:rsidR="00B94E33" w:rsidRPr="00B94E33">
        <w:rPr>
          <w:noProof/>
          <w:lang w:val="fr-FR"/>
        </w:rPr>
        <w:t>58</w:t>
      </w:r>
      <w:r w:rsidRPr="00B94E33">
        <w:fldChar w:fldCharType="end"/>
      </w:r>
      <w:bookmarkEnd w:id="16"/>
      <w:r w:rsidRPr="00B94E33">
        <w:rPr>
          <w:lang w:val="fr-FR"/>
        </w:rPr>
        <w:t>.  Le 27 septembre 2012</w:t>
      </w:r>
      <w:r w:rsidR="00401E2A" w:rsidRPr="00B94E33">
        <w:rPr>
          <w:lang w:val="fr-FR"/>
        </w:rPr>
        <w:t>,</w:t>
      </w:r>
      <w:r w:rsidRPr="00B94E33">
        <w:rPr>
          <w:lang w:val="fr-FR"/>
        </w:rPr>
        <w:t xml:space="preserve"> la Convention sur la prévention et la lutte contre la violence à l</w:t>
      </w:r>
      <w:r w:rsidR="00B94E33" w:rsidRPr="00B94E33">
        <w:rPr>
          <w:lang w:val="fr-FR"/>
        </w:rPr>
        <w:t>’</w:t>
      </w:r>
      <w:r w:rsidRPr="00B94E33">
        <w:rPr>
          <w:lang w:val="fr-FR"/>
        </w:rPr>
        <w:t>égard des femmes et la violence domestique (Convention d</w:t>
      </w:r>
      <w:r w:rsidR="00B94E33" w:rsidRPr="00B94E33">
        <w:rPr>
          <w:lang w:val="fr-FR"/>
        </w:rPr>
        <w:t>’</w:t>
      </w:r>
      <w:r w:rsidRPr="00B94E33">
        <w:rPr>
          <w:lang w:val="fr-FR"/>
        </w:rPr>
        <w:t>Istanbul</w:t>
      </w:r>
      <w:r w:rsidR="00401E2A" w:rsidRPr="00B94E33">
        <w:rPr>
          <w:lang w:val="fr-FR"/>
        </w:rPr>
        <w:t>) a été signée</w:t>
      </w:r>
      <w:r w:rsidRPr="00B94E33">
        <w:rPr>
          <w:lang w:val="fr-FR"/>
        </w:rPr>
        <w:t xml:space="preserve">. </w:t>
      </w:r>
      <w:r w:rsidR="00401E2A" w:rsidRPr="00B94E33">
        <w:rPr>
          <w:lang w:val="fr-FR"/>
        </w:rPr>
        <w:t>Elle</w:t>
      </w:r>
      <w:r w:rsidRPr="00B94E33">
        <w:rPr>
          <w:lang w:val="fr-FR"/>
        </w:rPr>
        <w:t xml:space="preserve"> a été ratifiée par l</w:t>
      </w:r>
      <w:r w:rsidR="00B94E33" w:rsidRPr="00B94E33">
        <w:rPr>
          <w:lang w:val="fr-FR"/>
        </w:rPr>
        <w:t>’</w:t>
      </w:r>
      <w:r w:rsidRPr="00B94E33">
        <w:rPr>
          <w:lang w:val="fr-FR"/>
        </w:rPr>
        <w:t xml:space="preserve">Italie </w:t>
      </w:r>
      <w:r w:rsidR="00401E2A" w:rsidRPr="00B94E33">
        <w:rPr>
          <w:lang w:val="fr-FR"/>
        </w:rPr>
        <w:t xml:space="preserve">le </w:t>
      </w:r>
      <w:r w:rsidRPr="00B94E33">
        <w:rPr>
          <w:lang w:val="fr-FR"/>
        </w:rPr>
        <w:t>10</w:t>
      </w:r>
      <w:r w:rsidR="00401E2A" w:rsidRPr="00B94E33">
        <w:rPr>
          <w:lang w:val="fr-FR"/>
        </w:rPr>
        <w:t> </w:t>
      </w:r>
      <w:r w:rsidRPr="00B94E33">
        <w:rPr>
          <w:lang w:val="fr-FR"/>
        </w:rPr>
        <w:t xml:space="preserve">septembre 2013 et est entrée en vigueur </w:t>
      </w:r>
      <w:r w:rsidR="004A5744" w:rsidRPr="00B94E33">
        <w:rPr>
          <w:lang w:val="fr-FR"/>
        </w:rPr>
        <w:t xml:space="preserve">dans ce pays </w:t>
      </w:r>
      <w:r w:rsidRPr="00B94E33">
        <w:rPr>
          <w:lang w:val="fr-FR"/>
        </w:rPr>
        <w:t>le 1</w:t>
      </w:r>
      <w:r w:rsidRPr="00B94E33">
        <w:rPr>
          <w:vertAlign w:val="superscript"/>
          <w:lang w:val="fr-FR"/>
        </w:rPr>
        <w:t>er</w:t>
      </w:r>
      <w:r w:rsidRPr="00B94E33">
        <w:rPr>
          <w:lang w:val="fr-FR"/>
        </w:rPr>
        <w:t xml:space="preserve"> août 2014. Les passages pertinents </w:t>
      </w:r>
      <w:r w:rsidR="00401E2A" w:rsidRPr="00B94E33">
        <w:rPr>
          <w:lang w:val="fr-FR"/>
        </w:rPr>
        <w:t>en l</w:t>
      </w:r>
      <w:r w:rsidR="00B94E33" w:rsidRPr="00B94E33">
        <w:rPr>
          <w:lang w:val="fr-FR"/>
        </w:rPr>
        <w:t>’</w:t>
      </w:r>
      <w:r w:rsidR="00401E2A" w:rsidRPr="00B94E33">
        <w:rPr>
          <w:lang w:val="fr-FR"/>
        </w:rPr>
        <w:t xml:space="preserve">espèce </w:t>
      </w:r>
      <w:r w:rsidRPr="00B94E33">
        <w:rPr>
          <w:lang w:val="fr-FR"/>
        </w:rPr>
        <w:t xml:space="preserve">de cette </w:t>
      </w:r>
      <w:r w:rsidR="00401E2A" w:rsidRPr="00B94E33">
        <w:rPr>
          <w:lang w:val="fr-FR"/>
        </w:rPr>
        <w:t>c</w:t>
      </w:r>
      <w:r w:rsidRPr="00B94E33">
        <w:rPr>
          <w:lang w:val="fr-FR"/>
        </w:rPr>
        <w:t>onvention sont en partie exposés dans l</w:t>
      </w:r>
      <w:r w:rsidR="00B94E33" w:rsidRPr="00B94E33">
        <w:rPr>
          <w:lang w:val="fr-FR"/>
        </w:rPr>
        <w:t>’</w:t>
      </w:r>
      <w:r w:rsidRPr="00B94E33">
        <w:rPr>
          <w:lang w:val="fr-FR"/>
        </w:rPr>
        <w:t xml:space="preserve">affaire </w:t>
      </w:r>
      <w:r w:rsidRPr="00B94E33">
        <w:rPr>
          <w:i/>
          <w:lang w:val="fr-FR"/>
        </w:rPr>
        <w:t>Y. c. Slovénie</w:t>
      </w:r>
      <w:r w:rsidR="0032596B" w:rsidRPr="00B94E33">
        <w:rPr>
          <w:lang w:val="fr-FR"/>
        </w:rPr>
        <w:t xml:space="preserve"> </w:t>
      </w:r>
      <w:r w:rsidR="00401E2A" w:rsidRPr="00B94E33">
        <w:rPr>
          <w:lang w:val="fr-FR"/>
        </w:rPr>
        <w:t>(</w:t>
      </w:r>
      <w:r w:rsidR="0032596B" w:rsidRPr="00B94E33">
        <w:rPr>
          <w:lang w:val="fr-FR"/>
        </w:rPr>
        <w:t>n</w:t>
      </w:r>
      <w:r w:rsidR="00EF4E78" w:rsidRPr="00B94E33">
        <w:rPr>
          <w:vertAlign w:val="superscript"/>
          <w:lang w:val="fr-FR"/>
        </w:rPr>
        <w:t>o</w:t>
      </w:r>
      <w:r w:rsidRPr="00B94E33">
        <w:rPr>
          <w:lang w:val="fr-FR"/>
        </w:rPr>
        <w:t xml:space="preserve"> </w:t>
      </w:r>
      <w:hyperlink r:id="rId15" w:anchor="{&quot;appno&quot;:[&quot;41107/10&quot;]}" w:tgtFrame="_blank" w:history="1">
        <w:r w:rsidRPr="00B94E33">
          <w:rPr>
            <w:rStyle w:val="Collegamentoipertestuale"/>
            <w:color w:val="auto"/>
            <w:u w:val="none"/>
            <w:lang w:val="fr-FR"/>
          </w:rPr>
          <w:t>41107/10</w:t>
        </w:r>
      </w:hyperlink>
      <w:r w:rsidRPr="00B94E33">
        <w:rPr>
          <w:lang w:val="fr-FR"/>
        </w:rPr>
        <w:t>, § 72, CEDH 2015 (extraits))</w:t>
      </w:r>
      <w:r w:rsidR="00401E2A" w:rsidRPr="00B94E33">
        <w:rPr>
          <w:lang w:val="fr-FR"/>
        </w:rPr>
        <w:t xml:space="preserve">. </w:t>
      </w:r>
      <w:r w:rsidR="0069317A" w:rsidRPr="00B94E33">
        <w:rPr>
          <w:lang w:val="fr-FR"/>
        </w:rPr>
        <w:t>En outre, l</w:t>
      </w:r>
      <w:r w:rsidR="00B94E33" w:rsidRPr="00B94E33">
        <w:rPr>
          <w:lang w:val="fr-FR"/>
        </w:rPr>
        <w:t>’</w:t>
      </w:r>
      <w:r w:rsidR="0069317A" w:rsidRPr="00B94E33">
        <w:rPr>
          <w:lang w:val="fr-FR"/>
        </w:rPr>
        <w:t>article 3 de ladite convention énonce ce qui suit</w:t>
      </w:r>
      <w:r w:rsidR="00892681" w:rsidRPr="00B94E33">
        <w:rPr>
          <w:lang w:val="fr-FR"/>
        </w:rPr>
        <w:t> :</w:t>
      </w:r>
    </w:p>
    <w:p w:rsidR="00A47B1E" w:rsidRPr="00B94E33" w:rsidRDefault="00A47B1E" w:rsidP="00B94E33">
      <w:pPr>
        <w:pStyle w:val="ECHRTitleCentre3"/>
        <w:rPr>
          <w:lang w:val="fr-FR"/>
        </w:rPr>
      </w:pPr>
      <w:r w:rsidRPr="00B94E33">
        <w:rPr>
          <w:lang w:val="fr-FR"/>
        </w:rPr>
        <w:t>Article 3 – Définitions</w:t>
      </w:r>
    </w:p>
    <w:p w:rsidR="00A47B1E" w:rsidRPr="00B94E33" w:rsidRDefault="004A5744" w:rsidP="00B94E33">
      <w:pPr>
        <w:pStyle w:val="ECHRParaQuote"/>
        <w:rPr>
          <w:lang w:val="fr-FR"/>
        </w:rPr>
      </w:pPr>
      <w:r w:rsidRPr="00B94E33">
        <w:rPr>
          <w:lang w:val="fr-FR"/>
        </w:rPr>
        <w:t>« </w:t>
      </w:r>
      <w:r w:rsidR="00A47B1E" w:rsidRPr="00B94E33">
        <w:rPr>
          <w:lang w:val="fr-FR"/>
        </w:rPr>
        <w:t>Aux fins de la présente Convention</w:t>
      </w:r>
      <w:r w:rsidRPr="00B94E33">
        <w:rPr>
          <w:lang w:val="fr-FR"/>
        </w:rPr>
        <w:t> :</w:t>
      </w:r>
    </w:p>
    <w:p w:rsidR="00A47B1E" w:rsidRPr="00B94E33" w:rsidRDefault="00A47B1E" w:rsidP="00B94E33">
      <w:pPr>
        <w:pStyle w:val="ECHRParaQuote"/>
        <w:rPr>
          <w:lang w:val="fr-FR"/>
        </w:rPr>
      </w:pPr>
      <w:r w:rsidRPr="00B94E33">
        <w:rPr>
          <w:lang w:val="fr-FR"/>
        </w:rPr>
        <w:t>a.</w:t>
      </w:r>
      <w:r w:rsidR="004A5744" w:rsidRPr="00B94E33">
        <w:rPr>
          <w:lang w:val="fr-FR"/>
        </w:rPr>
        <w:t>  </w:t>
      </w:r>
      <w:r w:rsidRPr="00B94E33">
        <w:rPr>
          <w:lang w:val="fr-FR"/>
        </w:rPr>
        <w:t>le terme « violence à l</w:t>
      </w:r>
      <w:r w:rsidR="00B94E33" w:rsidRPr="00B94E33">
        <w:rPr>
          <w:lang w:val="fr-FR"/>
        </w:rPr>
        <w:t>’</w:t>
      </w:r>
      <w:r w:rsidRPr="00B94E33">
        <w:rPr>
          <w:lang w:val="fr-FR"/>
        </w:rPr>
        <w:t>égard des femmes » doit être compris comme une violation des droits de l</w:t>
      </w:r>
      <w:r w:rsidR="00B94E33" w:rsidRPr="00B94E33">
        <w:rPr>
          <w:lang w:val="fr-FR"/>
        </w:rPr>
        <w:t>’</w:t>
      </w:r>
      <w:r w:rsidRPr="00B94E33">
        <w:rPr>
          <w:lang w:val="fr-FR"/>
        </w:rPr>
        <w:t>homme et une forme de discrimination à l</w:t>
      </w:r>
      <w:r w:rsidR="00B94E33" w:rsidRPr="00B94E33">
        <w:rPr>
          <w:lang w:val="fr-FR"/>
        </w:rPr>
        <w:t>’</w:t>
      </w:r>
      <w:r w:rsidRPr="00B94E33">
        <w:rPr>
          <w:lang w:val="fr-FR"/>
        </w:rPr>
        <w:t>égard des femmes, et désigne tous les actes de violence fondés sur le genre qui entraînent, ou sont susceptibles d</w:t>
      </w:r>
      <w:r w:rsidR="00B94E33" w:rsidRPr="00B94E33">
        <w:rPr>
          <w:lang w:val="fr-FR"/>
        </w:rPr>
        <w:t>’</w:t>
      </w:r>
      <w:r w:rsidRPr="00B94E33">
        <w:rPr>
          <w:lang w:val="fr-FR"/>
        </w:rPr>
        <w:t>entraîner pour les femmes, des dommages ou souffrances de nature physique, sexuelle, psychologique ou économique, y compris la menace de se livrer à de tels actes, la contrainte ou la privation arbitraire de liberté, que ce soit</w:t>
      </w:r>
      <w:r w:rsidR="009A4363" w:rsidRPr="00B94E33">
        <w:rPr>
          <w:lang w:val="fr-FR"/>
        </w:rPr>
        <w:t xml:space="preserve"> dans la vie publique ou privée </w:t>
      </w:r>
      <w:r w:rsidRPr="00B94E33">
        <w:rPr>
          <w:lang w:val="fr-FR"/>
        </w:rPr>
        <w:t>;</w:t>
      </w:r>
    </w:p>
    <w:p w:rsidR="00A47B1E" w:rsidRPr="00B94E33" w:rsidRDefault="00A47B1E" w:rsidP="00B94E33">
      <w:pPr>
        <w:pStyle w:val="ECHRParaQuote"/>
        <w:rPr>
          <w:lang w:val="fr-FR"/>
        </w:rPr>
      </w:pPr>
      <w:r w:rsidRPr="00B94E33">
        <w:rPr>
          <w:lang w:val="fr-FR"/>
        </w:rPr>
        <w:t>b.</w:t>
      </w:r>
      <w:r w:rsidR="00EB1AD3" w:rsidRPr="00B94E33">
        <w:rPr>
          <w:lang w:val="fr-FR"/>
        </w:rPr>
        <w:t>  </w:t>
      </w:r>
      <w:r w:rsidRPr="00B94E33">
        <w:rPr>
          <w:lang w:val="fr-FR"/>
        </w:rPr>
        <w:t>le terme « violence domestique » désigne tous les actes de violence physique, sexuelle, psychologique ou économique qui surviennent au sein de la famille ou du foyer ou entre des anciens ou actuels conjoints ou partenaires, indépendamment du fait que l</w:t>
      </w:r>
      <w:r w:rsidR="00B94E33" w:rsidRPr="00B94E33">
        <w:rPr>
          <w:lang w:val="fr-FR"/>
        </w:rPr>
        <w:t>’</w:t>
      </w:r>
      <w:r w:rsidRPr="00B94E33">
        <w:rPr>
          <w:lang w:val="fr-FR"/>
        </w:rPr>
        <w:t>auteur de l</w:t>
      </w:r>
      <w:r w:rsidR="00B94E33" w:rsidRPr="00B94E33">
        <w:rPr>
          <w:lang w:val="fr-FR"/>
        </w:rPr>
        <w:t>’</w:t>
      </w:r>
      <w:r w:rsidRPr="00B94E33">
        <w:rPr>
          <w:lang w:val="fr-FR"/>
        </w:rPr>
        <w:t>infraction partage ou a partagé le même domicile qu</w:t>
      </w:r>
      <w:r w:rsidR="009A4363" w:rsidRPr="00B94E33">
        <w:rPr>
          <w:lang w:val="fr-FR"/>
        </w:rPr>
        <w:t>e la victime </w:t>
      </w:r>
      <w:r w:rsidRPr="00B94E33">
        <w:rPr>
          <w:lang w:val="fr-FR"/>
        </w:rPr>
        <w:t>;</w:t>
      </w:r>
    </w:p>
    <w:p w:rsidR="00A47B1E" w:rsidRPr="00B94E33" w:rsidRDefault="009A4363" w:rsidP="00B94E33">
      <w:pPr>
        <w:pStyle w:val="ECHRParaQuote"/>
        <w:rPr>
          <w:lang w:val="fr-FR"/>
        </w:rPr>
      </w:pPr>
      <w:r w:rsidRPr="00B94E33">
        <w:rPr>
          <w:lang w:val="fr-FR"/>
        </w:rPr>
        <w:t>(...) </w:t>
      </w:r>
      <w:r w:rsidR="00A47B1E" w:rsidRPr="00B94E33">
        <w:rPr>
          <w:lang w:val="fr-FR"/>
        </w:rPr>
        <w:t>»</w:t>
      </w:r>
    </w:p>
    <w:bookmarkStart w:id="17" w:name="para58"/>
    <w:bookmarkStart w:id="18" w:name="para59"/>
    <w:p w:rsidR="00EF4E78" w:rsidRPr="00B94E33" w:rsidRDefault="00934898" w:rsidP="00B94E33">
      <w:pPr>
        <w:pStyle w:val="ECHRPara"/>
        <w:rPr>
          <w:rFonts w:cstheme="minorHAnsi"/>
          <w:lang w:val="fr-FR"/>
        </w:rPr>
      </w:pPr>
      <w:r w:rsidRPr="00B94E33">
        <w:rPr>
          <w:rFonts w:cstheme="minorHAnsi"/>
          <w:lang w:val="fr-FR"/>
        </w:rPr>
        <w:fldChar w:fldCharType="begin"/>
      </w:r>
      <w:r w:rsidRPr="00B94E33">
        <w:rPr>
          <w:rFonts w:cstheme="minorHAnsi"/>
          <w:lang w:val="fr-FR"/>
        </w:rPr>
        <w:instrText xml:space="preserve"> SEQ level0 \*arabic </w:instrText>
      </w:r>
      <w:r w:rsidRPr="00B94E33">
        <w:rPr>
          <w:rFonts w:cstheme="minorHAnsi"/>
          <w:lang w:val="fr-FR"/>
        </w:rPr>
        <w:fldChar w:fldCharType="separate"/>
      </w:r>
      <w:r w:rsidR="00B94E33" w:rsidRPr="00B94E33">
        <w:rPr>
          <w:rFonts w:cstheme="minorHAnsi"/>
          <w:noProof/>
          <w:lang w:val="fr-FR"/>
        </w:rPr>
        <w:t>59</w:t>
      </w:r>
      <w:r w:rsidRPr="00B94E33">
        <w:rPr>
          <w:rFonts w:cstheme="minorHAnsi"/>
          <w:lang w:val="fr-FR"/>
        </w:rPr>
        <w:fldChar w:fldCharType="end"/>
      </w:r>
      <w:bookmarkEnd w:id="17"/>
      <w:bookmarkEnd w:id="18"/>
      <w:r w:rsidRPr="00B94E33">
        <w:rPr>
          <w:rFonts w:cstheme="minorHAnsi"/>
          <w:lang w:val="fr-FR"/>
        </w:rPr>
        <w:t>.  </w:t>
      </w:r>
      <w:r w:rsidR="00892681" w:rsidRPr="00B94E33">
        <w:rPr>
          <w:rFonts w:cstheme="minorHAnsi"/>
          <w:lang w:val="fr-FR"/>
        </w:rPr>
        <w:t>Le</w:t>
      </w:r>
      <w:r w:rsidR="0069317A" w:rsidRPr="00B94E33">
        <w:rPr>
          <w:rFonts w:cstheme="minorHAnsi"/>
          <w:lang w:val="fr-FR"/>
        </w:rPr>
        <w:t>s conclusions du</w:t>
      </w:r>
      <w:r w:rsidR="00CF4013" w:rsidRPr="00B94E33">
        <w:rPr>
          <w:rFonts w:cstheme="minorHAnsi"/>
          <w:lang w:val="fr-FR"/>
        </w:rPr>
        <w:t xml:space="preserve"> </w:t>
      </w:r>
      <w:r w:rsidR="00892681" w:rsidRPr="00B94E33">
        <w:rPr>
          <w:rFonts w:cstheme="minorHAnsi"/>
          <w:lang w:val="fr-FR"/>
        </w:rPr>
        <w:t>r</w:t>
      </w:r>
      <w:r w:rsidR="00CF4013" w:rsidRPr="00B94E33">
        <w:rPr>
          <w:rFonts w:cstheme="minorHAnsi"/>
          <w:lang w:val="fr-FR"/>
        </w:rPr>
        <w:t xml:space="preserve">apporteur </w:t>
      </w:r>
      <w:r w:rsidR="00892681" w:rsidRPr="00B94E33">
        <w:rPr>
          <w:rFonts w:cstheme="minorHAnsi"/>
          <w:lang w:val="fr-FR"/>
        </w:rPr>
        <w:t>s</w:t>
      </w:r>
      <w:r w:rsidR="00CF4013" w:rsidRPr="00B94E33">
        <w:rPr>
          <w:rFonts w:cstheme="minorHAnsi"/>
          <w:lang w:val="fr-FR"/>
        </w:rPr>
        <w:t xml:space="preserve">pécial </w:t>
      </w:r>
      <w:r w:rsidR="002A3223" w:rsidRPr="00B94E33">
        <w:rPr>
          <w:rFonts w:cstheme="minorHAnsi"/>
          <w:lang w:val="fr-FR"/>
        </w:rPr>
        <w:t>de</w:t>
      </w:r>
      <w:r w:rsidR="0056713F" w:rsidRPr="00B94E33">
        <w:rPr>
          <w:rFonts w:cstheme="minorHAnsi"/>
          <w:lang w:val="fr-FR"/>
        </w:rPr>
        <w:t>s</w:t>
      </w:r>
      <w:r w:rsidR="002A3223" w:rsidRPr="00B94E33">
        <w:rPr>
          <w:rFonts w:cstheme="minorHAnsi"/>
          <w:lang w:val="fr-FR"/>
        </w:rPr>
        <w:t xml:space="preserve"> Nations Unies </w:t>
      </w:r>
      <w:r w:rsidR="00CF4013" w:rsidRPr="00B94E33">
        <w:rPr>
          <w:rFonts w:cstheme="minorHAnsi"/>
          <w:lang w:val="fr-FR"/>
        </w:rPr>
        <w:t>chargé de la question de</w:t>
      </w:r>
      <w:r w:rsidR="00763745" w:rsidRPr="00B94E33">
        <w:rPr>
          <w:rFonts w:cstheme="minorHAnsi"/>
          <w:lang w:val="fr-FR"/>
        </w:rPr>
        <w:t>s</w:t>
      </w:r>
      <w:r w:rsidR="00CF4013" w:rsidRPr="00B94E33">
        <w:rPr>
          <w:rFonts w:cstheme="minorHAnsi"/>
          <w:lang w:val="fr-FR"/>
        </w:rPr>
        <w:t xml:space="preserve"> violence</w:t>
      </w:r>
      <w:r w:rsidR="00763745" w:rsidRPr="00B94E33">
        <w:rPr>
          <w:rFonts w:cstheme="minorHAnsi"/>
          <w:lang w:val="fr-FR"/>
        </w:rPr>
        <w:t>s</w:t>
      </w:r>
      <w:r w:rsidR="00CF4013" w:rsidRPr="00B94E33">
        <w:rPr>
          <w:rFonts w:cstheme="minorHAnsi"/>
          <w:lang w:val="fr-FR"/>
        </w:rPr>
        <w:t xml:space="preserve"> contre les femmes, </w:t>
      </w:r>
      <w:r w:rsidR="00892681" w:rsidRPr="00B94E33">
        <w:rPr>
          <w:rFonts w:cstheme="minorHAnsi"/>
          <w:lang w:val="fr-FR"/>
        </w:rPr>
        <w:t xml:space="preserve">de </w:t>
      </w:r>
      <w:r w:rsidR="00763745" w:rsidRPr="00B94E33">
        <w:rPr>
          <w:rFonts w:cstheme="minorHAnsi"/>
          <w:lang w:val="fr-FR"/>
        </w:rPr>
        <w:t>leurs</w:t>
      </w:r>
      <w:r w:rsidR="00CF4013" w:rsidRPr="00B94E33">
        <w:rPr>
          <w:rFonts w:cstheme="minorHAnsi"/>
          <w:lang w:val="fr-FR"/>
        </w:rPr>
        <w:t xml:space="preserve"> causes et conséquences</w:t>
      </w:r>
      <w:r w:rsidR="004A5744" w:rsidRPr="00B94E33">
        <w:rPr>
          <w:rFonts w:cstheme="minorHAnsi"/>
          <w:lang w:val="fr-FR"/>
        </w:rPr>
        <w:t>,</w:t>
      </w:r>
      <w:r w:rsidR="00CF4013" w:rsidRPr="00B94E33">
        <w:rPr>
          <w:rFonts w:cstheme="minorHAnsi"/>
          <w:lang w:val="fr-FR"/>
        </w:rPr>
        <w:t xml:space="preserve"> </w:t>
      </w:r>
      <w:r w:rsidR="00892681" w:rsidRPr="00B94E33">
        <w:rPr>
          <w:rFonts w:cstheme="minorHAnsi"/>
          <w:lang w:val="fr-FR"/>
        </w:rPr>
        <w:lastRenderedPageBreak/>
        <w:t>rédig</w:t>
      </w:r>
      <w:r w:rsidR="0069317A" w:rsidRPr="00B94E33">
        <w:rPr>
          <w:rFonts w:cstheme="minorHAnsi"/>
          <w:lang w:val="fr-FR"/>
        </w:rPr>
        <w:t>ées</w:t>
      </w:r>
      <w:r w:rsidR="00892681" w:rsidRPr="00B94E33">
        <w:rPr>
          <w:rFonts w:cstheme="minorHAnsi"/>
          <w:lang w:val="fr-FR"/>
        </w:rPr>
        <w:t xml:space="preserve"> </w:t>
      </w:r>
      <w:r w:rsidR="0069317A" w:rsidRPr="00B94E33">
        <w:rPr>
          <w:rFonts w:cstheme="minorHAnsi"/>
          <w:lang w:val="fr-FR"/>
        </w:rPr>
        <w:t>à la suite</w:t>
      </w:r>
      <w:r w:rsidR="00CF4013" w:rsidRPr="00B94E33">
        <w:rPr>
          <w:rFonts w:cstheme="minorHAnsi"/>
          <w:lang w:val="fr-FR"/>
        </w:rPr>
        <w:t xml:space="preserve"> de sa mission en Italie </w:t>
      </w:r>
      <w:r w:rsidR="00F42CF2" w:rsidRPr="00B94E33">
        <w:rPr>
          <w:rFonts w:cstheme="minorHAnsi"/>
          <w:lang w:val="fr-FR"/>
        </w:rPr>
        <w:t>(</w:t>
      </w:r>
      <w:r w:rsidR="00892681" w:rsidRPr="00B94E33">
        <w:rPr>
          <w:rFonts w:cstheme="minorHAnsi"/>
          <w:lang w:val="fr-FR"/>
        </w:rPr>
        <w:t xml:space="preserve">du </w:t>
      </w:r>
      <w:r w:rsidR="00CF4013" w:rsidRPr="00B94E33">
        <w:rPr>
          <w:rFonts w:cstheme="minorHAnsi"/>
          <w:lang w:val="fr-FR"/>
        </w:rPr>
        <w:t>15</w:t>
      </w:r>
      <w:r w:rsidR="00892681" w:rsidRPr="00B94E33">
        <w:rPr>
          <w:rFonts w:cstheme="minorHAnsi"/>
          <w:lang w:val="fr-FR"/>
        </w:rPr>
        <w:t xml:space="preserve"> au </w:t>
      </w:r>
      <w:r w:rsidR="00CF4013" w:rsidRPr="00B94E33">
        <w:rPr>
          <w:rFonts w:cstheme="minorHAnsi"/>
          <w:lang w:val="fr-FR"/>
        </w:rPr>
        <w:t>26</w:t>
      </w:r>
      <w:r w:rsidR="005F1C2F" w:rsidRPr="00B94E33">
        <w:rPr>
          <w:rFonts w:cstheme="minorHAnsi"/>
          <w:lang w:val="fr-FR"/>
        </w:rPr>
        <w:t xml:space="preserve"> </w:t>
      </w:r>
      <w:r w:rsidR="00CF4013" w:rsidRPr="00B94E33">
        <w:rPr>
          <w:rFonts w:cstheme="minorHAnsi"/>
          <w:lang w:val="fr-FR"/>
        </w:rPr>
        <w:t>janvier 2012</w:t>
      </w:r>
      <w:r w:rsidR="00892681" w:rsidRPr="00B94E33">
        <w:rPr>
          <w:rFonts w:cstheme="minorHAnsi"/>
          <w:lang w:val="fr-FR"/>
        </w:rPr>
        <w:t>)</w:t>
      </w:r>
      <w:r w:rsidR="004A5744" w:rsidRPr="00B94E33">
        <w:rPr>
          <w:rFonts w:cstheme="minorHAnsi"/>
          <w:lang w:val="fr-FR"/>
        </w:rPr>
        <w:t>,</w:t>
      </w:r>
      <w:r w:rsidR="00892681" w:rsidRPr="00B94E33">
        <w:rPr>
          <w:rFonts w:cstheme="minorHAnsi"/>
          <w:lang w:val="fr-FR"/>
        </w:rPr>
        <w:t xml:space="preserve"> peuvent se lire ainsi :</w:t>
      </w:r>
    </w:p>
    <w:p w:rsidR="00EF4E78" w:rsidRPr="00B94E33" w:rsidRDefault="004A5744" w:rsidP="00B94E33">
      <w:pPr>
        <w:pStyle w:val="ECHRParaQuote"/>
      </w:pPr>
      <w:r w:rsidRPr="00B94E33">
        <w:t>« </w:t>
      </w:r>
      <w:r w:rsidR="00CF4013" w:rsidRPr="00B94E33">
        <w:t>VII. Conclusions and recommendations</w:t>
      </w:r>
    </w:p>
    <w:p w:rsidR="00EF4E78" w:rsidRPr="00B94E33" w:rsidRDefault="00CF4013" w:rsidP="00B94E33">
      <w:pPr>
        <w:pStyle w:val="ECHRParaQuote"/>
      </w:pPr>
      <w:r w:rsidRPr="00B94E33">
        <w:t>91. Efforts have been made by the Government to address the issue of violence against women, including through the adoption of laws and policies and the establishment and merger of governmental bodies responsible for the promotion and protection of women</w:t>
      </w:r>
      <w:r w:rsidR="00B94E33" w:rsidRPr="00B94E33">
        <w:t>’</w:t>
      </w:r>
      <w:r w:rsidRPr="00B94E33">
        <w:t>s rights. Yet these achievements have not led to a decrease in the femicide rate or translated into real improvements in the lives of many women and girls, particularly Roma and Sinti women, migrant women and women with disabilities.</w:t>
      </w:r>
    </w:p>
    <w:p w:rsidR="00EF4E78" w:rsidRPr="00B94E33" w:rsidRDefault="00CF4013" w:rsidP="00B94E33">
      <w:pPr>
        <w:pStyle w:val="ECHRParaQuote"/>
      </w:pPr>
      <w:r w:rsidRPr="00B94E33">
        <w:t>92. Despite the challenges of the current political and economic situation, targeted and coordinated efforts in addressing violence against women, through practical and innovative use of limited resources, need to remain a priority. The high levels of domestic violence, which are contributing to rising levels of femicide, demand serious attention.</w:t>
      </w:r>
    </w:p>
    <w:p w:rsidR="00EF4E78" w:rsidRPr="00B94E33" w:rsidRDefault="00CF4013" w:rsidP="00B94E33">
      <w:pPr>
        <w:pStyle w:val="ECHRParaQuote"/>
      </w:pPr>
      <w:r w:rsidRPr="00B94E33">
        <w:t>93. The Special Rapporteur would like to offer the Government the following recommendations.</w:t>
      </w:r>
    </w:p>
    <w:p w:rsidR="00EF4E78" w:rsidRPr="00B94E33" w:rsidRDefault="00CF4013" w:rsidP="00B94E33">
      <w:pPr>
        <w:pStyle w:val="ECHRParaQuote"/>
        <w:rPr>
          <w:u w:val="single"/>
        </w:rPr>
      </w:pPr>
      <w:r w:rsidRPr="00B94E33">
        <w:rPr>
          <w:u w:val="single"/>
        </w:rPr>
        <w:t>A. Law and policy reforms</w:t>
      </w:r>
    </w:p>
    <w:p w:rsidR="00EF4E78" w:rsidRPr="00B94E33" w:rsidRDefault="00CF4013" w:rsidP="00B94E33">
      <w:pPr>
        <w:pStyle w:val="ECHRParaQuote"/>
      </w:pPr>
      <w:r w:rsidRPr="00B94E33">
        <w:t>94. The Government should:</w:t>
      </w:r>
    </w:p>
    <w:p w:rsidR="00EF4E78" w:rsidRPr="00B94E33" w:rsidRDefault="00CF4013" w:rsidP="00B94E33">
      <w:pPr>
        <w:pStyle w:val="ECHRParaQuote"/>
      </w:pPr>
      <w:r w:rsidRPr="00B94E33">
        <w:t>(a) Put in place a single dedicated governmental structure to deal exclusively with the issue of substantive gender equality broadly and violence against women in particular, to overcome duplication and lack of coordination;</w:t>
      </w:r>
    </w:p>
    <w:p w:rsidR="00EF4E78" w:rsidRPr="00B94E33" w:rsidRDefault="00CF4013" w:rsidP="00B94E33">
      <w:pPr>
        <w:pStyle w:val="ECHRParaQuote"/>
      </w:pPr>
      <w:r w:rsidRPr="00B94E33">
        <w:t>(b) Expedite the creation of an independent national human rights institution with a section dedicated to women</w:t>
      </w:r>
      <w:r w:rsidR="00B94E33" w:rsidRPr="00B94E33">
        <w:t>’</w:t>
      </w:r>
      <w:r w:rsidRPr="00B94E33">
        <w:t>s rights;</w:t>
      </w:r>
    </w:p>
    <w:p w:rsidR="00EF4E78" w:rsidRPr="00B94E33" w:rsidRDefault="00CF4013" w:rsidP="00B94E33">
      <w:pPr>
        <w:pStyle w:val="ECHRParaQuote"/>
      </w:pPr>
      <w:r w:rsidRPr="00B94E33">
        <w:t>(c) Adopt a specific law on violence against women to address the current fragmentation which is occurring in practice due to the interpretation and implementation of the civil, criminal and procedures codes;</w:t>
      </w:r>
    </w:p>
    <w:p w:rsidR="00EF4E78" w:rsidRPr="00B94E33" w:rsidRDefault="00CF4013" w:rsidP="00B94E33">
      <w:pPr>
        <w:pStyle w:val="ECHRParaQuote"/>
      </w:pPr>
      <w:r w:rsidRPr="00B94E33">
        <w:t>(d) Address the legal gap in the areas of child custody and include relevant provisions relating to protection of women who are the victims of domestic violence;</w:t>
      </w:r>
    </w:p>
    <w:p w:rsidR="00EF4E78" w:rsidRPr="00B94E33" w:rsidRDefault="00CF4013" w:rsidP="00B94E33">
      <w:pPr>
        <w:pStyle w:val="ECHRParaQuote"/>
      </w:pPr>
      <w:r w:rsidRPr="00B94E33">
        <w:t>(e) Provide education and training to strengthen the skills of judges to effectively address cases of violence against women;</w:t>
      </w:r>
    </w:p>
    <w:p w:rsidR="00EF4E78" w:rsidRPr="00B94E33" w:rsidRDefault="00CF4013" w:rsidP="00B94E33">
      <w:pPr>
        <w:pStyle w:val="ECHRParaQuote"/>
      </w:pPr>
      <w:r w:rsidRPr="00B94E33">
        <w:t>(f) Ensure the provision of quality, State-sponsored legal aid to women victims of violence as envisaged in the constitution and Law No. 154/200 on measures against violence in family relations;</w:t>
      </w:r>
    </w:p>
    <w:p w:rsidR="00EF4E78" w:rsidRPr="00B94E33" w:rsidRDefault="00CF4013" w:rsidP="00B94E33">
      <w:pPr>
        <w:pStyle w:val="ECHRParaQuote"/>
      </w:pPr>
      <w:r w:rsidRPr="00B94E33">
        <w:t>(g) Promote existing alternative forms of detention, including house arrest and low-security establishments for women with children, having due regard to the largely non-violent nature of the crimes for which they are incarcerated and the best interest of children;</w:t>
      </w:r>
    </w:p>
    <w:p w:rsidR="00EF4E78" w:rsidRPr="00B94E33" w:rsidRDefault="00CF4013" w:rsidP="00B94E33">
      <w:pPr>
        <w:pStyle w:val="ECHRParaQuote"/>
      </w:pPr>
      <w:r w:rsidRPr="00B94E33">
        <w:t>(h) Adopt a long-term, gender-sensitive and sustainable policy for social inclusion and empowerment of marginalized communities, with a particular focus on women</w:t>
      </w:r>
      <w:r w:rsidR="00B94E33" w:rsidRPr="00B94E33">
        <w:t>’</w:t>
      </w:r>
      <w:r w:rsidRPr="00B94E33">
        <w:t>s health, education, labour and security;</w:t>
      </w:r>
    </w:p>
    <w:p w:rsidR="00EF4E78" w:rsidRPr="00B94E33" w:rsidRDefault="00CF4013" w:rsidP="00B94E33">
      <w:pPr>
        <w:pStyle w:val="ECHRParaQuote"/>
      </w:pPr>
      <w:r w:rsidRPr="00B94E33">
        <w:t>(i) Ensure the involvement of representatives of these communities, particularly women, in the design, development and implementation of policies which impact them;</w:t>
      </w:r>
    </w:p>
    <w:p w:rsidR="00EF4E78" w:rsidRPr="00B94E33" w:rsidRDefault="00CF4013" w:rsidP="00B94E33">
      <w:pPr>
        <w:pStyle w:val="ECHRParaQuote"/>
      </w:pPr>
      <w:r w:rsidRPr="00B94E33">
        <w:lastRenderedPageBreak/>
        <w:t>(j) Ensure continued provision of quality education for all, including through a flexible application of the 30 per cent ceiling of non-Italian pupils per classroom, to allow for inclusive schools particularly in places where the population of non-Italians is high.</w:t>
      </w:r>
    </w:p>
    <w:p w:rsidR="00EF4E78" w:rsidRPr="00B94E33" w:rsidRDefault="00CF4013" w:rsidP="00B94E33">
      <w:pPr>
        <w:pStyle w:val="ECHRParaQuote"/>
      </w:pPr>
      <w:r w:rsidRPr="00B94E33">
        <w:t>(k) Amend the “Security Package” laws generally, and the crime of irregular migration in particular, to ensure access of migrant women in irregular situations to the judiciary and law enforcement agencies, without fear of detention and deportation;</w:t>
      </w:r>
    </w:p>
    <w:p w:rsidR="00EF4E78" w:rsidRPr="00B94E33" w:rsidRDefault="00CF4013" w:rsidP="00B94E33">
      <w:pPr>
        <w:pStyle w:val="ECHRParaQuote"/>
      </w:pPr>
      <w:r w:rsidRPr="00B94E33">
        <w:t>(l) Address the existing gender disparities in the public and private sectors by effectively implementing the measures provided by the Constitution and other legislation and policies to increase the number of women, including from marginalized groups, in the political, economic, social, cultural and judicial spheres;</w:t>
      </w:r>
    </w:p>
    <w:p w:rsidR="00EF4E78" w:rsidRPr="00B94E33" w:rsidRDefault="00CF4013" w:rsidP="00B94E33">
      <w:pPr>
        <w:pStyle w:val="ECHRParaQuote"/>
      </w:pPr>
      <w:r w:rsidRPr="00B94E33">
        <w:t>(m) Continue to remove legal hurdles affecting the employment of women, which is exacerbated through the practice of signing blank resignations, and the lower positions and salary scale for women. Strengthen the social welfare system by removing impediments to the integration of women into the labour market;</w:t>
      </w:r>
    </w:p>
    <w:p w:rsidR="00EF4E78" w:rsidRPr="00B94E33" w:rsidRDefault="00CF4013" w:rsidP="00B94E33">
      <w:pPr>
        <w:pStyle w:val="ECHRParaQuote"/>
      </w:pPr>
      <w:r w:rsidRPr="00B94E33">
        <w:t>(n) Ratify and implement the Convention on jurisdiction, applicable law, recognition, enforcement and cooperation in respect of parental responsibility and measures for the protection of children; the International Convention on the Protection of the Rights of All Migrant Workers and Members of Their Families, International Labour Organization Convention No. 189 (2011) concerning decent work for domestic workers; the European Convention on the Compensation of Victims of Violent Crimes and the Council of Europe Convention on preventing and combating violence against women and domestic violence.</w:t>
      </w:r>
    </w:p>
    <w:p w:rsidR="00EF4E78" w:rsidRPr="00B94E33" w:rsidRDefault="00CF4013" w:rsidP="00B94E33">
      <w:pPr>
        <w:pStyle w:val="ECHRParaQuote"/>
        <w:rPr>
          <w:u w:val="single"/>
        </w:rPr>
      </w:pPr>
      <w:r w:rsidRPr="00B94E33">
        <w:rPr>
          <w:u w:val="single"/>
        </w:rPr>
        <w:t>B. Societal changes and awareness-raising initiatives</w:t>
      </w:r>
    </w:p>
    <w:p w:rsidR="00EF4E78" w:rsidRPr="00B94E33" w:rsidRDefault="00CF4013" w:rsidP="00B94E33">
      <w:pPr>
        <w:pStyle w:val="ECHRParaQuote"/>
      </w:pPr>
      <w:r w:rsidRPr="00B94E33">
        <w:t>95. The Government should also:</w:t>
      </w:r>
    </w:p>
    <w:p w:rsidR="00EF4E78" w:rsidRPr="00B94E33" w:rsidRDefault="00CF4013" w:rsidP="00B94E33">
      <w:pPr>
        <w:pStyle w:val="ECHRParaQuote"/>
      </w:pPr>
      <w:r w:rsidRPr="00B94E33">
        <w:t>(a) Continue to conduct awareness-raising campaigns aimed at eliminating stereotypical attitudes about the roles and responsibilities of women and men in the family, society and workplace;</w:t>
      </w:r>
    </w:p>
    <w:p w:rsidR="00CF4013" w:rsidRPr="00B94E33" w:rsidRDefault="00CF4013" w:rsidP="00B94E33">
      <w:pPr>
        <w:pStyle w:val="ECHRParaQuote"/>
      </w:pPr>
      <w:r w:rsidRPr="00B94E33">
        <w:t>(b) Strengthen the capacity of the National Racial Discrimination Office to put in place programmes to bring about change in society</w:t>
      </w:r>
      <w:r w:rsidR="00B94E33" w:rsidRPr="00B94E33">
        <w:t>’</w:t>
      </w:r>
      <w:r w:rsidRPr="00B94E33">
        <w:t>s perception of women who belong to marginalized communities and groups;</w:t>
      </w:r>
    </w:p>
    <w:p w:rsidR="00EF4E78" w:rsidRPr="00B94E33" w:rsidRDefault="00CF4013" w:rsidP="00B94E33">
      <w:pPr>
        <w:pStyle w:val="ECHRParaQuote"/>
      </w:pPr>
      <w:r w:rsidRPr="00B94E33">
        <w:t>(c) Continue to conduct targeted sensitization campaigns, including with CSOs, to increase awareness on violence against women generally, and women from marginalized groups in particular;</w:t>
      </w:r>
    </w:p>
    <w:p w:rsidR="00EF4E78" w:rsidRPr="00B94E33" w:rsidRDefault="00CF4013" w:rsidP="00B94E33">
      <w:pPr>
        <w:pStyle w:val="ECHRParaQuote"/>
      </w:pPr>
      <w:r w:rsidRPr="00B94E33">
        <w:t>(d) Train and sensitize the media on women</w:t>
      </w:r>
      <w:r w:rsidR="00B94E33" w:rsidRPr="00B94E33">
        <w:t>’</w:t>
      </w:r>
      <w:r w:rsidRPr="00B94E33">
        <w:t>s rights including on violence against women, in order to achieve a non-stereotyped representation of women and men in the national media.</w:t>
      </w:r>
    </w:p>
    <w:p w:rsidR="00EF4E78" w:rsidRPr="00B94E33" w:rsidRDefault="00CF4013" w:rsidP="00B94E33">
      <w:pPr>
        <w:pStyle w:val="ECHRParaQuote"/>
        <w:rPr>
          <w:u w:val="single"/>
        </w:rPr>
      </w:pPr>
      <w:r w:rsidRPr="00B94E33">
        <w:rPr>
          <w:u w:val="single"/>
        </w:rPr>
        <w:t>C. Support services</w:t>
      </w:r>
    </w:p>
    <w:p w:rsidR="00EF4E78" w:rsidRPr="00B94E33" w:rsidRDefault="00CF4013" w:rsidP="00B94E33">
      <w:pPr>
        <w:pStyle w:val="ECHRParaQuote"/>
      </w:pPr>
      <w:r w:rsidRPr="00B94E33">
        <w:t>96. The Government should further:</w:t>
      </w:r>
    </w:p>
    <w:p w:rsidR="00EF4E78" w:rsidRPr="00B94E33" w:rsidRDefault="00CF4013" w:rsidP="00B94E33">
      <w:pPr>
        <w:pStyle w:val="ECHRParaQuote"/>
      </w:pPr>
      <w:r w:rsidRPr="00B94E33">
        <w:t>(a) Continue to take the necessary measures, including financial, to maintain existing and/or set-up new anti-violence shelters for the assistance and protection of women victims of violence;</w:t>
      </w:r>
    </w:p>
    <w:p w:rsidR="00EF4E78" w:rsidRPr="00B94E33" w:rsidRDefault="00CF4013" w:rsidP="00B94E33">
      <w:pPr>
        <w:pStyle w:val="ECHRParaQuote"/>
      </w:pPr>
      <w:r w:rsidRPr="00B94E33">
        <w:t>(b) Ensure that shelters operate according to international and national human rights standards and that accountability mechanisms are put in place to monitor the support provided to women victims of violence;</w:t>
      </w:r>
    </w:p>
    <w:p w:rsidR="00EF4E78" w:rsidRPr="00B94E33" w:rsidRDefault="00CF4013" w:rsidP="00B94E33">
      <w:pPr>
        <w:pStyle w:val="ECHRParaQuote"/>
      </w:pPr>
      <w:r w:rsidRPr="00B94E33">
        <w:lastRenderedPageBreak/>
        <w:t>(c) Enhance coordination and exchange of information among the judiciary, police and psychosocial and health operators who deal with violence against women;</w:t>
      </w:r>
    </w:p>
    <w:p w:rsidR="00EF4E78" w:rsidRPr="00B94E33" w:rsidRDefault="00CF4013" w:rsidP="00B94E33">
      <w:pPr>
        <w:pStyle w:val="ECHRParaQuote"/>
      </w:pPr>
      <w:r w:rsidRPr="00B94E33">
        <w:t>(d) Recognize, encourage and support public-private partnerships with CSOs and higher learning institutions, to provide research and responses to addressing violence against women.</w:t>
      </w:r>
      <w:r w:rsidR="009A4363" w:rsidRPr="00B94E33">
        <w:t> </w:t>
      </w:r>
      <w:r w:rsidR="00A47B1E" w:rsidRPr="00B94E33">
        <w:t>»</w:t>
      </w:r>
    </w:p>
    <w:p w:rsidR="00436540" w:rsidRPr="00B94E33" w:rsidRDefault="00934898" w:rsidP="00B94E33">
      <w:pPr>
        <w:pStyle w:val="JuParaSub"/>
      </w:pPr>
      <w:r w:rsidRPr="00B94E33">
        <w:fldChar w:fldCharType="begin"/>
      </w:r>
      <w:r w:rsidRPr="00B94E33">
        <w:rPr>
          <w:lang w:val="fr-FR"/>
        </w:rPr>
        <w:instrText xml:space="preserve"> SEQ level0 \*arabic </w:instrText>
      </w:r>
      <w:r w:rsidRPr="00B94E33">
        <w:fldChar w:fldCharType="separate"/>
      </w:r>
      <w:r w:rsidR="00B94E33" w:rsidRPr="00B94E33">
        <w:rPr>
          <w:noProof/>
          <w:lang w:val="fr-FR"/>
        </w:rPr>
        <w:t>60</w:t>
      </w:r>
      <w:r w:rsidRPr="00B94E33">
        <w:fldChar w:fldCharType="end"/>
      </w:r>
      <w:r w:rsidRPr="00B94E33">
        <w:rPr>
          <w:lang w:val="fr-FR"/>
        </w:rPr>
        <w:t>.  </w:t>
      </w:r>
      <w:r w:rsidR="00892681" w:rsidRPr="00B94E33">
        <w:rPr>
          <w:lang w:val="fr-FR"/>
        </w:rPr>
        <w:t>Un r</w:t>
      </w:r>
      <w:r w:rsidRPr="00B94E33">
        <w:rPr>
          <w:lang w:val="fr-FR"/>
        </w:rPr>
        <w:t xml:space="preserve">apport </w:t>
      </w:r>
      <w:r w:rsidR="002A3223" w:rsidRPr="00B94E33">
        <w:rPr>
          <w:lang w:val="fr-FR"/>
        </w:rPr>
        <w:t>de l</w:t>
      </w:r>
      <w:r w:rsidR="00B94E33" w:rsidRPr="00B94E33">
        <w:rPr>
          <w:lang w:val="fr-FR"/>
        </w:rPr>
        <w:t>’</w:t>
      </w:r>
      <w:r w:rsidR="002A3223" w:rsidRPr="00B94E33">
        <w:rPr>
          <w:lang w:val="fr-FR"/>
        </w:rPr>
        <w:t xml:space="preserve">organisation non gouvernementale </w:t>
      </w:r>
      <w:r w:rsidRPr="00B94E33">
        <w:rPr>
          <w:lang w:val="fr-FR"/>
        </w:rPr>
        <w:t>WAVE</w:t>
      </w:r>
      <w:r w:rsidR="002A3223" w:rsidRPr="00B94E33">
        <w:rPr>
          <w:lang w:val="fr-FR"/>
        </w:rPr>
        <w:t xml:space="preserve"> </w:t>
      </w:r>
      <w:r w:rsidR="002756CC" w:rsidRPr="00B94E33">
        <w:rPr>
          <w:lang w:val="fr-FR"/>
        </w:rPr>
        <w:t>(</w:t>
      </w:r>
      <w:r w:rsidR="00436540" w:rsidRPr="00B94E33">
        <w:rPr>
          <w:i/>
          <w:lang w:val="fr-FR"/>
        </w:rPr>
        <w:t>Woment against violence Europe</w:t>
      </w:r>
      <w:r w:rsidR="00436540" w:rsidRPr="00B94E33">
        <w:rPr>
          <w:lang w:val="fr-FR"/>
        </w:rPr>
        <w:t>)</w:t>
      </w:r>
      <w:r w:rsidRPr="00B94E33">
        <w:rPr>
          <w:lang w:val="fr-FR"/>
        </w:rPr>
        <w:t xml:space="preserve"> concernant l</w:t>
      </w:r>
      <w:r w:rsidR="00B94E33" w:rsidRPr="00B94E33">
        <w:rPr>
          <w:lang w:val="fr-FR"/>
        </w:rPr>
        <w:t>’</w:t>
      </w:r>
      <w:r w:rsidR="00892681" w:rsidRPr="00B94E33">
        <w:rPr>
          <w:lang w:val="fr-FR"/>
        </w:rPr>
        <w:t xml:space="preserve">Italie </w:t>
      </w:r>
      <w:r w:rsidR="0069317A" w:rsidRPr="00B94E33">
        <w:rPr>
          <w:lang w:val="fr-FR"/>
        </w:rPr>
        <w:t>a été</w:t>
      </w:r>
      <w:r w:rsidR="004F1679" w:rsidRPr="00B94E33">
        <w:rPr>
          <w:lang w:val="fr-FR"/>
        </w:rPr>
        <w:t xml:space="preserve"> publié en 2015</w:t>
      </w:r>
      <w:r w:rsidR="00892681" w:rsidRPr="00B94E33">
        <w:rPr>
          <w:lang w:val="fr-FR"/>
        </w:rPr>
        <w:t xml:space="preserve">. </w:t>
      </w:r>
      <w:r w:rsidR="00892681" w:rsidRPr="00B94E33">
        <w:t>Sa partie pertinente en l</w:t>
      </w:r>
      <w:r w:rsidR="00B94E33" w:rsidRPr="00B94E33">
        <w:t>’</w:t>
      </w:r>
      <w:r w:rsidR="00892681" w:rsidRPr="00B94E33">
        <w:t xml:space="preserve">espèce </w:t>
      </w:r>
      <w:r w:rsidR="0069317A" w:rsidRPr="00B94E33">
        <w:t>se lit</w:t>
      </w:r>
      <w:r w:rsidR="00892681" w:rsidRPr="00B94E33">
        <w:t xml:space="preserve"> </w:t>
      </w:r>
      <w:r w:rsidR="0069317A" w:rsidRPr="00B94E33">
        <w:t>comme suit</w:t>
      </w:r>
      <w:r w:rsidR="00892681" w:rsidRPr="00B94E33">
        <w:t> :</w:t>
      </w:r>
    </w:p>
    <w:p w:rsidR="00EF4E78" w:rsidRPr="00B94E33" w:rsidRDefault="004F1679" w:rsidP="00B94E33">
      <w:pPr>
        <w:pStyle w:val="ECHRParaQuote"/>
        <w:rPr>
          <w:i/>
          <w:iCs/>
        </w:rPr>
      </w:pPr>
      <w:r w:rsidRPr="00B94E33">
        <w:t>« </w:t>
      </w:r>
      <w:r w:rsidR="00934898" w:rsidRPr="00B94E33">
        <w:t>In 2014, 681 women and 721 children were accommodated at 45 women</w:t>
      </w:r>
      <w:r w:rsidR="00B94E33" w:rsidRPr="00B94E33">
        <w:t>’</w:t>
      </w:r>
      <w:r w:rsidR="00934898" w:rsidRPr="00B94E33">
        <w:t xml:space="preserve">s shelters that are part of the national network </w:t>
      </w:r>
      <w:r w:rsidR="00934898" w:rsidRPr="00B94E33">
        <w:rPr>
          <w:i/>
          <w:iCs/>
        </w:rPr>
        <w:t>Associazione Nazionale Donne in Rete contro la violenza - D.i.R.e.</w:t>
      </w:r>
    </w:p>
    <w:p w:rsidR="00EF4E78" w:rsidRPr="00B94E33" w:rsidRDefault="00934898" w:rsidP="00B94E33">
      <w:pPr>
        <w:pStyle w:val="ECHRParaQuote"/>
      </w:pPr>
      <w:r w:rsidRPr="00B94E33">
        <w:t>In addition, there are three shelters for Black and Minority Ethnic (BME) women, migrant and asylum seeking women in the cities of Reggio Emilia, Imola and Modena, one shelter for girls and young women victims of forced marriage, and 12 shelters for victims of trafficking.</w:t>
      </w:r>
    </w:p>
    <w:p w:rsidR="00EF4E78" w:rsidRPr="00B94E33" w:rsidRDefault="00934898" w:rsidP="00B94E33">
      <w:pPr>
        <w:pStyle w:val="ECHRParaQuote"/>
        <w:rPr>
          <w:u w:val="single"/>
        </w:rPr>
      </w:pPr>
      <w:r w:rsidRPr="00B94E33">
        <w:rPr>
          <w:u w:val="single"/>
        </w:rPr>
        <w:t>Women</w:t>
      </w:r>
      <w:r w:rsidR="00B94E33" w:rsidRPr="00B94E33">
        <w:rPr>
          <w:u w:val="single"/>
        </w:rPr>
        <w:t>’</w:t>
      </w:r>
      <w:r w:rsidRPr="00B94E33">
        <w:rPr>
          <w:u w:val="single"/>
        </w:rPr>
        <w:t>s Centres</w:t>
      </w:r>
    </w:p>
    <w:p w:rsidR="00EF4E78" w:rsidRPr="00B94E33" w:rsidRDefault="00934898" w:rsidP="00B94E33">
      <w:pPr>
        <w:pStyle w:val="ECHRParaQuote"/>
      </w:pPr>
      <w:r w:rsidRPr="00B94E33">
        <w:t>There are 140 women</w:t>
      </w:r>
      <w:r w:rsidR="00B94E33" w:rsidRPr="00B94E33">
        <w:t>’</w:t>
      </w:r>
      <w:r w:rsidRPr="00B94E33">
        <w:t>s centres providing non-residential support to women survivors of any kind of violence in Italy; 113 of these centres are run by NGOs, 19 are run by the state, and 8 are run by faith-based organisations. While the exact number of such services is not known, there are several women</w:t>
      </w:r>
      <w:r w:rsidR="00B94E33" w:rsidRPr="00B94E33">
        <w:t>’</w:t>
      </w:r>
      <w:r w:rsidRPr="00B94E33">
        <w:t>s centres for Black and Minority Ethnic (BME) women, as well as centres for women victims of trafficking. All the women</w:t>
      </w:r>
      <w:r w:rsidR="00B94E33" w:rsidRPr="00B94E33">
        <w:t>’</w:t>
      </w:r>
      <w:r w:rsidRPr="00B94E33">
        <w:t>s centres provide information and advice, counselling, advocacy and practical support with access to social rights (i.e. housing, income, health care) and legal advice. Some only provide specialist support for children and family support, and cooperate with programmes for perpetrators of violence against women.</w:t>
      </w:r>
    </w:p>
    <w:p w:rsidR="00EF4E78" w:rsidRPr="00B94E33" w:rsidRDefault="00934898" w:rsidP="00B94E33">
      <w:pPr>
        <w:pStyle w:val="ECHRParaQuote"/>
        <w:rPr>
          <w:u w:val="single"/>
        </w:rPr>
      </w:pPr>
      <w:r w:rsidRPr="00B94E33">
        <w:rPr>
          <w:u w:val="single"/>
        </w:rPr>
        <w:t>Women</w:t>
      </w:r>
      <w:r w:rsidR="00B94E33" w:rsidRPr="00B94E33">
        <w:rPr>
          <w:u w:val="single"/>
        </w:rPr>
        <w:t>’</w:t>
      </w:r>
      <w:r w:rsidRPr="00B94E33">
        <w:rPr>
          <w:u w:val="single"/>
        </w:rPr>
        <w:t>s Networks</w:t>
      </w:r>
    </w:p>
    <w:p w:rsidR="00EF4E78" w:rsidRPr="00B94E33" w:rsidRDefault="00934898" w:rsidP="00B94E33">
      <w:pPr>
        <w:pStyle w:val="ECHRParaQuote"/>
      </w:pPr>
      <w:r w:rsidRPr="00B94E33">
        <w:t>There is one national women</w:t>
      </w:r>
      <w:r w:rsidR="00B94E33" w:rsidRPr="00B94E33">
        <w:t>’</w:t>
      </w:r>
      <w:r w:rsidRPr="00B94E33">
        <w:t xml:space="preserve">s network in Italy, called </w:t>
      </w:r>
      <w:r w:rsidRPr="00B94E33">
        <w:rPr>
          <w:i/>
          <w:iCs/>
        </w:rPr>
        <w:t xml:space="preserve">Associazione Nazionale Donne in Rete contro la violenza - D.i.R.e. </w:t>
      </w:r>
      <w:r w:rsidRPr="00B94E33">
        <w:t>The network includes 73 members, all women</w:t>
      </w:r>
      <w:r w:rsidR="00B94E33" w:rsidRPr="00B94E33">
        <w:t>’</w:t>
      </w:r>
      <w:r w:rsidRPr="00B94E33">
        <w:t>s organisations running women</w:t>
      </w:r>
      <w:r w:rsidR="00B94E33" w:rsidRPr="00B94E33">
        <w:t>’</w:t>
      </w:r>
      <w:r w:rsidRPr="00B94E33">
        <w:t>s shelters and anti-violence centres in Italy. Formed in 2008 and based in Rome, the network conduct activities in the areas of public awareness, lobbying and advocacy, training, research and networking. In 2014, the network received EUR 66,747 in funding from various private donors and foundations for specific projects, and EUR 20,000 in membership fees.</w:t>
      </w:r>
    </w:p>
    <w:p w:rsidR="00EF4E78" w:rsidRPr="00B94E33" w:rsidRDefault="00934898" w:rsidP="00B94E33">
      <w:pPr>
        <w:pStyle w:val="ECHRParaQuote"/>
        <w:rPr>
          <w:u w:val="single"/>
        </w:rPr>
      </w:pPr>
      <w:r w:rsidRPr="00B94E33">
        <w:rPr>
          <w:u w:val="single"/>
        </w:rPr>
        <w:t>Policy &amp; Funding</w:t>
      </w:r>
    </w:p>
    <w:p w:rsidR="00EF4E78" w:rsidRPr="00B94E33" w:rsidRDefault="00934898" w:rsidP="00B94E33">
      <w:pPr>
        <w:pStyle w:val="ECHRParaQuote"/>
      </w:pPr>
      <w:r w:rsidRPr="00B94E33">
        <w:t xml:space="preserve">The </w:t>
      </w:r>
      <w:r w:rsidRPr="00B94E33">
        <w:rPr>
          <w:iCs/>
        </w:rPr>
        <w:t xml:space="preserve">Extraordinary Action Plan against gender and sexual violence in accordance with art.5 par. 1 Law Decree 14 August 2013 n.93 converted with amendments into Law 15 October 2013 n.119 </w:t>
      </w:r>
      <w:r w:rsidRPr="00B94E33">
        <w:t>(</w:t>
      </w:r>
      <w:r w:rsidRPr="00B94E33">
        <w:rPr>
          <w:i/>
        </w:rPr>
        <w:t>Piano di Azione Straordinario contro la violenza sessuale e di genere ai sensi dell</w:t>
      </w:r>
      <w:r w:rsidR="00B94E33" w:rsidRPr="00B94E33">
        <w:rPr>
          <w:i/>
        </w:rPr>
        <w:t>’</w:t>
      </w:r>
      <w:r w:rsidRPr="00B94E33">
        <w:rPr>
          <w:i/>
        </w:rPr>
        <w:t>art 5 comma 1 D.L. 14 Agosto 2013 n. 93 convertito con modifiche nella legge del 15 Ottobre 2013 n 119</w:t>
      </w:r>
      <w:r w:rsidRPr="00B94E33">
        <w:t>) was launched in 2015 and covers a three-year period</w:t>
      </w:r>
      <w:r w:rsidR="0056713F" w:rsidRPr="00B94E33">
        <w:t xml:space="preserve"> [voir paragraphe 53 ci-dessus]</w:t>
      </w:r>
      <w:r w:rsidRPr="00B94E33">
        <w:t xml:space="preserve">. The Plan addresses rape and sexual assault only marginally, and it does not provide for adequate financing of existing services or to create new services in the many regions where these are inexistent. While forced and early marriage is mentioned in the Plan, no particular measures are included. Conceived as an extraordinary measure provided for in a law decree addressing other subjects, the Plan generally fails to address the structural characteristics of violence against women and gender-based violence. Measures and </w:t>
      </w:r>
      <w:r w:rsidRPr="00B94E33">
        <w:lastRenderedPageBreak/>
        <w:t>interventions included in the Plan do not consider women</w:t>
      </w:r>
      <w:r w:rsidR="00B94E33" w:rsidRPr="00B94E33">
        <w:t>’</w:t>
      </w:r>
      <w:r w:rsidRPr="00B94E33">
        <w:t>s shelters and anti-violence centres as key actors in providing specialist support to survivors of violence, with a gender perspective.</w:t>
      </w:r>
    </w:p>
    <w:p w:rsidR="006306A9" w:rsidRPr="00B94E33" w:rsidRDefault="00934898" w:rsidP="00B94E33">
      <w:pPr>
        <w:pStyle w:val="ECHRParaQuote"/>
      </w:pPr>
      <w:r w:rsidRPr="00B94E33">
        <w:t>The Department for Equal Opportunities – Presidency of the Council of Ministers – acts as coordinating body for the implementation of policies on VAW. This body has in practice little effectiveness, largely due to the failure of the President of the Council of Ministers to appoint a Minister with decision-making.</w:t>
      </w:r>
    </w:p>
    <w:p w:rsidR="00EF4E78" w:rsidRPr="00B94E33" w:rsidRDefault="00934898" w:rsidP="00B94E33">
      <w:pPr>
        <w:pStyle w:val="ECHRParaQuote"/>
      </w:pPr>
      <w:r w:rsidRPr="00B94E33">
        <w:t>There is currently no national monitoring body entrusted with the evaluation of national strategies on VAW in Italy, and women</w:t>
      </w:r>
      <w:r w:rsidR="00B94E33" w:rsidRPr="00B94E33">
        <w:t>’</w:t>
      </w:r>
      <w:r w:rsidRPr="00B94E33">
        <w:t>s organisations are rarely invited to conduct such evaluation. Nonetheless, in 2014, a coalition of Italian women</w:t>
      </w:r>
      <w:r w:rsidR="00B94E33" w:rsidRPr="00B94E33">
        <w:t>’</w:t>
      </w:r>
      <w:r w:rsidRPr="00B94E33">
        <w:t>s NGOs (among which D.i.R.e.) submitted a Shadow Report on the implementation of the Beijing Declaration and Platform for Action covering 2009-2014, and including review of national strategies on VAW.</w:t>
      </w:r>
    </w:p>
    <w:p w:rsidR="00EF4E78" w:rsidRPr="00B94E33" w:rsidRDefault="00934898" w:rsidP="00B94E33">
      <w:pPr>
        <w:pStyle w:val="ECHRParaQuote"/>
      </w:pPr>
      <w:r w:rsidRPr="00B94E33">
        <w:t>In 2014, funding for governmental activities to combat VAW equalled EUR 7 million, while very little funding was provided for NGOs activities through local regional governments; detailed information on funding for NGOs activities is not available, due to the budget being decentralized. State funding for women</w:t>
      </w:r>
      <w:r w:rsidR="00B94E33" w:rsidRPr="00B94E33">
        <w:t>’</w:t>
      </w:r>
      <w:r w:rsidRPr="00B94E33">
        <w:t>s organisations providing support is exclusively project-based.</w:t>
      </w:r>
    </w:p>
    <w:p w:rsidR="00EF4E78" w:rsidRPr="00B94E33" w:rsidRDefault="00934898" w:rsidP="00B94E33">
      <w:pPr>
        <w:pStyle w:val="ECHRParaQuote"/>
        <w:rPr>
          <w:u w:val="single"/>
        </w:rPr>
      </w:pPr>
      <w:r w:rsidRPr="00B94E33">
        <w:rPr>
          <w:u w:val="single"/>
        </w:rPr>
        <w:t>Prevention, Awareness-raising, Campaigning</w:t>
      </w:r>
    </w:p>
    <w:p w:rsidR="00EF4E78" w:rsidRPr="00B94E33" w:rsidRDefault="00934898" w:rsidP="00B94E33">
      <w:pPr>
        <w:pStyle w:val="ECHRParaQuote"/>
      </w:pPr>
      <w:r w:rsidRPr="00B94E33">
        <w:t>The national women</w:t>
      </w:r>
      <w:r w:rsidR="00B94E33" w:rsidRPr="00B94E33">
        <w:t>’</w:t>
      </w:r>
      <w:r w:rsidRPr="00B94E33">
        <w:t>s network, along with most of the women</w:t>
      </w:r>
      <w:r w:rsidR="00B94E33" w:rsidRPr="00B94E33">
        <w:t>’</w:t>
      </w:r>
      <w:r w:rsidRPr="00B94E33">
        <w:t>s shelters and centres, and the national women</w:t>
      </w:r>
      <w:r w:rsidR="00B94E33" w:rsidRPr="00B94E33">
        <w:t>’</w:t>
      </w:r>
      <w:r w:rsidRPr="00B94E33">
        <w:t>s helpline conduct activities in the field of prevention, awareness-raising and campaigning; besides the national women</w:t>
      </w:r>
      <w:r w:rsidR="00B94E33" w:rsidRPr="00B94E33">
        <w:t>’</w:t>
      </w:r>
      <w:r w:rsidRPr="00B94E33">
        <w:t>s helpline (1522), none of them received funding to carry out these activities in 2014.</w:t>
      </w:r>
    </w:p>
    <w:p w:rsidR="00EF4E78" w:rsidRPr="00B94E33" w:rsidRDefault="00934898" w:rsidP="00B94E33">
      <w:pPr>
        <w:pStyle w:val="ECHRParaQuote"/>
        <w:rPr>
          <w:u w:val="single"/>
        </w:rPr>
      </w:pPr>
      <w:r w:rsidRPr="00B94E33">
        <w:rPr>
          <w:u w:val="single"/>
        </w:rPr>
        <w:t>Training</w:t>
      </w:r>
    </w:p>
    <w:p w:rsidR="00934898" w:rsidRPr="00B94E33" w:rsidRDefault="00934898" w:rsidP="00B94E33">
      <w:pPr>
        <w:pStyle w:val="ECHRParaQuote"/>
      </w:pPr>
      <w:r w:rsidRPr="00B94E33">
        <w:t>Most of the women</w:t>
      </w:r>
      <w:r w:rsidR="00B94E33" w:rsidRPr="00B94E33">
        <w:t>’</w:t>
      </w:r>
      <w:r w:rsidRPr="00B94E33">
        <w:t>s shelters and centres conduct trainings with a number of target groups: police, judiciary, civil servants, health professionals, psychologists, social workers, education pr</w:t>
      </w:r>
      <w:r w:rsidR="009A4363" w:rsidRPr="00B94E33">
        <w:t>ofessionals, media, and others. </w:t>
      </w:r>
      <w:r w:rsidR="00B07206" w:rsidRPr="00B94E33">
        <w:t>»</w:t>
      </w:r>
    </w:p>
    <w:p w:rsidR="00E77CB3" w:rsidRPr="00B94E33" w:rsidRDefault="00E77CB3" w:rsidP="00B94E33">
      <w:pPr>
        <w:pStyle w:val="ECHRTitle1"/>
        <w:rPr>
          <w:lang w:val="fr-FR"/>
        </w:rPr>
      </w:pPr>
      <w:r w:rsidRPr="00B94E33">
        <w:rPr>
          <w:lang w:val="fr-FR"/>
        </w:rPr>
        <w:t>EN DROIT</w:t>
      </w:r>
    </w:p>
    <w:p w:rsidR="00D92C89" w:rsidRPr="00B94E33" w:rsidRDefault="00533BF2" w:rsidP="00B94E33">
      <w:pPr>
        <w:pStyle w:val="ECHRHeading1"/>
        <w:rPr>
          <w:lang w:val="fr-FR"/>
        </w:rPr>
      </w:pPr>
      <w:r w:rsidRPr="00B94E33">
        <w:rPr>
          <w:lang w:val="fr-FR"/>
        </w:rPr>
        <w:t>I.</w:t>
      </w:r>
      <w:r w:rsidR="00763745" w:rsidRPr="00B94E33">
        <w:rPr>
          <w:lang w:val="fr-FR"/>
        </w:rPr>
        <w:t>  </w:t>
      </w:r>
      <w:r w:rsidR="00D92C89" w:rsidRPr="00B94E33">
        <w:rPr>
          <w:lang w:val="fr-FR"/>
        </w:rPr>
        <w:t>SUR LA RECEVABILITÉ</w:t>
      </w:r>
    </w:p>
    <w:p w:rsidR="00D92C89" w:rsidRPr="00B94E33" w:rsidRDefault="00AD268D"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61</w:t>
      </w:r>
      <w:r w:rsidRPr="00B94E33">
        <w:rPr>
          <w:lang w:val="fr-FR"/>
        </w:rPr>
        <w:fldChar w:fldCharType="end"/>
      </w:r>
      <w:r w:rsidRPr="00B94E33">
        <w:rPr>
          <w:lang w:val="fr-FR"/>
        </w:rPr>
        <w:t>.  </w:t>
      </w:r>
      <w:r w:rsidR="00D92C89" w:rsidRPr="00B94E33">
        <w:rPr>
          <w:lang w:val="fr-FR"/>
        </w:rPr>
        <w:t>Le Gouvernement soulève deux exceptions d</w:t>
      </w:r>
      <w:r w:rsidR="00B94E33" w:rsidRPr="00B94E33">
        <w:rPr>
          <w:lang w:val="fr-FR"/>
        </w:rPr>
        <w:t>’</w:t>
      </w:r>
      <w:r w:rsidR="00D92C89" w:rsidRPr="00B94E33">
        <w:rPr>
          <w:lang w:val="fr-FR"/>
        </w:rPr>
        <w:t>irrecevabilité.</w:t>
      </w:r>
    </w:p>
    <w:p w:rsidR="00D92C89" w:rsidRPr="00B94E33" w:rsidRDefault="00D92C89" w:rsidP="00B94E33">
      <w:pPr>
        <w:pStyle w:val="ECHRHeading2"/>
        <w:rPr>
          <w:lang w:val="fr-FR"/>
        </w:rPr>
      </w:pPr>
      <w:r w:rsidRPr="00B94E33">
        <w:rPr>
          <w:lang w:val="fr-FR"/>
        </w:rPr>
        <w:t>A.</w:t>
      </w:r>
      <w:r w:rsidR="000310CA" w:rsidRPr="00B94E33">
        <w:rPr>
          <w:lang w:val="fr-FR"/>
        </w:rPr>
        <w:t>  </w:t>
      </w:r>
      <w:r w:rsidRPr="00B94E33">
        <w:rPr>
          <w:lang w:val="fr-FR"/>
        </w:rPr>
        <w:t>Sur le non-respect allégué du délai de six mois prévu à l</w:t>
      </w:r>
      <w:r w:rsidR="00B94E33" w:rsidRPr="00B94E33">
        <w:rPr>
          <w:lang w:val="fr-FR"/>
        </w:rPr>
        <w:t>’</w:t>
      </w:r>
      <w:r w:rsidRPr="00B94E33">
        <w:rPr>
          <w:lang w:val="fr-FR"/>
        </w:rPr>
        <w:t>article</w:t>
      </w:r>
      <w:r w:rsidR="007D5CEE" w:rsidRPr="00B94E33">
        <w:rPr>
          <w:lang w:val="fr-FR"/>
        </w:rPr>
        <w:t> </w:t>
      </w:r>
      <w:r w:rsidRPr="00B94E33">
        <w:rPr>
          <w:lang w:val="fr-FR"/>
        </w:rPr>
        <w:t>35</w:t>
      </w:r>
      <w:r w:rsidR="00B07206" w:rsidRPr="00B94E33">
        <w:rPr>
          <w:lang w:val="fr-FR"/>
        </w:rPr>
        <w:t> </w:t>
      </w:r>
      <w:r w:rsidRPr="00B94E33">
        <w:rPr>
          <w:lang w:val="fr-FR"/>
        </w:rPr>
        <w:t>§ 1 de la Convention</w:t>
      </w:r>
    </w:p>
    <w:p w:rsidR="00D92C89" w:rsidRPr="00B94E33" w:rsidRDefault="00D92C89"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62</w:t>
      </w:r>
      <w:r w:rsidRPr="00B94E33">
        <w:rPr>
          <w:lang w:val="fr-FR"/>
        </w:rPr>
        <w:fldChar w:fldCharType="end"/>
      </w:r>
      <w:r w:rsidRPr="00B94E33">
        <w:rPr>
          <w:lang w:val="fr-FR"/>
        </w:rPr>
        <w:t xml:space="preserve">.  Le Gouvernement </w:t>
      </w:r>
      <w:r w:rsidR="00787DF5" w:rsidRPr="00B94E33">
        <w:rPr>
          <w:lang w:val="fr-FR"/>
        </w:rPr>
        <w:t xml:space="preserve">argue </w:t>
      </w:r>
      <w:r w:rsidRPr="00B94E33">
        <w:rPr>
          <w:lang w:val="fr-FR"/>
        </w:rPr>
        <w:t xml:space="preserve">que la requête est tardive, </w:t>
      </w:r>
      <w:r w:rsidR="004A5744" w:rsidRPr="00B94E33">
        <w:rPr>
          <w:lang w:val="fr-FR"/>
        </w:rPr>
        <w:t>au motif</w:t>
      </w:r>
      <w:r w:rsidRPr="00B94E33">
        <w:rPr>
          <w:lang w:val="fr-FR"/>
        </w:rPr>
        <w:t xml:space="preserve"> que la requérante l</w:t>
      </w:r>
      <w:r w:rsidR="00B94E33" w:rsidRPr="00B94E33">
        <w:rPr>
          <w:lang w:val="fr-FR"/>
        </w:rPr>
        <w:t>’</w:t>
      </w:r>
      <w:r w:rsidRPr="00B94E33">
        <w:rPr>
          <w:lang w:val="fr-FR"/>
        </w:rPr>
        <w:t>a introduite après le classement de la plainte, à savoir le 1</w:t>
      </w:r>
      <w:r w:rsidRPr="00B94E33">
        <w:rPr>
          <w:vertAlign w:val="superscript"/>
          <w:lang w:val="fr-FR"/>
        </w:rPr>
        <w:t>er</w:t>
      </w:r>
      <w:r w:rsidR="004A5744" w:rsidRPr="00B94E33">
        <w:rPr>
          <w:vertAlign w:val="superscript"/>
          <w:lang w:val="fr-FR"/>
        </w:rPr>
        <w:t xml:space="preserve"> </w:t>
      </w:r>
      <w:r w:rsidRPr="00B94E33">
        <w:rPr>
          <w:lang w:val="fr-FR"/>
        </w:rPr>
        <w:t xml:space="preserve">août 2013. </w:t>
      </w:r>
      <w:r w:rsidR="007D5CEE" w:rsidRPr="00B94E33">
        <w:rPr>
          <w:lang w:val="fr-FR"/>
        </w:rPr>
        <w:t>Par ailleurs, l</w:t>
      </w:r>
      <w:r w:rsidR="00EC100F" w:rsidRPr="00B94E33">
        <w:rPr>
          <w:lang w:val="fr-FR"/>
        </w:rPr>
        <w:t>a requérante n</w:t>
      </w:r>
      <w:r w:rsidR="00B94E33" w:rsidRPr="00B94E33">
        <w:rPr>
          <w:lang w:val="fr-FR"/>
        </w:rPr>
        <w:t>’</w:t>
      </w:r>
      <w:r w:rsidR="00EC100F" w:rsidRPr="00B94E33">
        <w:rPr>
          <w:lang w:val="fr-FR"/>
        </w:rPr>
        <w:t>aurait pas exprimé la volonté d</w:t>
      </w:r>
      <w:r w:rsidR="00B94E33" w:rsidRPr="00B94E33">
        <w:rPr>
          <w:lang w:val="fr-FR"/>
        </w:rPr>
        <w:t>’</w:t>
      </w:r>
      <w:r w:rsidR="00EC100F" w:rsidRPr="00B94E33">
        <w:rPr>
          <w:lang w:val="fr-FR"/>
        </w:rPr>
        <w:t xml:space="preserve">être informée </w:t>
      </w:r>
      <w:r w:rsidR="00787DF5" w:rsidRPr="00B94E33">
        <w:rPr>
          <w:lang w:val="fr-FR"/>
        </w:rPr>
        <w:t>d</w:t>
      </w:r>
      <w:r w:rsidR="00B94E33" w:rsidRPr="00B94E33">
        <w:rPr>
          <w:lang w:val="fr-FR"/>
        </w:rPr>
        <w:t>’</w:t>
      </w:r>
      <w:r w:rsidR="004A5744" w:rsidRPr="00B94E33">
        <w:rPr>
          <w:lang w:val="fr-FR"/>
        </w:rPr>
        <w:t>un</w:t>
      </w:r>
      <w:r w:rsidR="00787DF5" w:rsidRPr="00B94E33">
        <w:rPr>
          <w:lang w:val="fr-FR"/>
        </w:rPr>
        <w:t xml:space="preserve"> </w:t>
      </w:r>
      <w:r w:rsidR="00EC100F" w:rsidRPr="00B94E33">
        <w:rPr>
          <w:lang w:val="fr-FR"/>
        </w:rPr>
        <w:t>classement de la plainte</w:t>
      </w:r>
      <w:r w:rsidRPr="00B94E33">
        <w:rPr>
          <w:lang w:val="fr-FR"/>
        </w:rPr>
        <w:t>.</w:t>
      </w:r>
    </w:p>
    <w:p w:rsidR="00E464CC" w:rsidRPr="00B94E33" w:rsidRDefault="00D92C89"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63</w:t>
      </w:r>
      <w:r w:rsidRPr="00B94E33">
        <w:rPr>
          <w:lang w:val="fr-FR"/>
        </w:rPr>
        <w:fldChar w:fldCharType="end"/>
      </w:r>
      <w:r w:rsidR="00AD1C99" w:rsidRPr="00B94E33">
        <w:rPr>
          <w:lang w:val="fr-FR"/>
        </w:rPr>
        <w:t>.  </w:t>
      </w:r>
      <w:r w:rsidR="001F6F4C" w:rsidRPr="00B94E33">
        <w:rPr>
          <w:lang w:val="fr-FR"/>
        </w:rPr>
        <w:t>Se</w:t>
      </w:r>
      <w:r w:rsidRPr="00B94E33">
        <w:rPr>
          <w:lang w:val="fr-FR"/>
        </w:rPr>
        <w:t xml:space="preserve"> référant à la jurisprudence de la Cour (</w:t>
      </w:r>
      <w:r w:rsidR="00AD1C99" w:rsidRPr="00B94E33">
        <w:rPr>
          <w:i/>
          <w:lang w:val="fr-FR"/>
        </w:rPr>
        <w:t>Varnava et autres c</w:t>
      </w:r>
      <w:r w:rsidR="00787DF5" w:rsidRPr="00B94E33">
        <w:rPr>
          <w:i/>
          <w:lang w:val="fr-FR"/>
        </w:rPr>
        <w:t>. </w:t>
      </w:r>
      <w:r w:rsidR="00AD1C99" w:rsidRPr="00B94E33">
        <w:rPr>
          <w:i/>
          <w:lang w:val="fr-FR"/>
        </w:rPr>
        <w:t>Turquie</w:t>
      </w:r>
      <w:r w:rsidR="00AD1C99" w:rsidRPr="00B94E33">
        <w:rPr>
          <w:lang w:val="fr-FR"/>
        </w:rPr>
        <w:t xml:space="preserve"> [GC], n</w:t>
      </w:r>
      <w:r w:rsidR="00AD1C99" w:rsidRPr="00B94E33">
        <w:rPr>
          <w:vertAlign w:val="superscript"/>
          <w:lang w:val="fr-FR"/>
        </w:rPr>
        <w:t>o</w:t>
      </w:r>
      <w:r w:rsidR="00AD1C99" w:rsidRPr="00B94E33">
        <w:rPr>
          <w:rFonts w:ascii="Times New (W1)" w:hAnsi="Times New (W1)"/>
          <w:vertAlign w:val="superscript"/>
          <w:lang w:val="fr-FR"/>
        </w:rPr>
        <w:t>s</w:t>
      </w:r>
      <w:r w:rsidR="00AD1C99" w:rsidRPr="00B94E33">
        <w:rPr>
          <w:lang w:val="fr-FR"/>
        </w:rPr>
        <w:t xml:space="preserve"> 16064/90, 16065/90, 16066/90, 16068/90, 16069/90, </w:t>
      </w:r>
      <w:r w:rsidR="00AD1C99" w:rsidRPr="00B94E33">
        <w:rPr>
          <w:lang w:val="fr-FR"/>
        </w:rPr>
        <w:lastRenderedPageBreak/>
        <w:t>16070/90, 16071/90, 16072/90 et 16073/90, §156-158, CEDH 2009</w:t>
      </w:r>
      <w:r w:rsidR="00787DF5" w:rsidRPr="00B94E33">
        <w:rPr>
          <w:lang w:val="fr-FR"/>
        </w:rPr>
        <w:t>,</w:t>
      </w:r>
      <w:r w:rsidR="00AD1C99" w:rsidRPr="00B94E33">
        <w:rPr>
          <w:lang w:val="fr-FR"/>
        </w:rPr>
        <w:t xml:space="preserve"> </w:t>
      </w:r>
      <w:r w:rsidRPr="00B94E33">
        <w:rPr>
          <w:lang w:val="fr-FR"/>
        </w:rPr>
        <w:t xml:space="preserve">et </w:t>
      </w:r>
      <w:r w:rsidR="00E464CC" w:rsidRPr="00B94E33">
        <w:rPr>
          <w:i/>
          <w:lang w:val="fr-FR"/>
        </w:rPr>
        <w:t>Edwards c. Royaume-Uni</w:t>
      </w:r>
      <w:r w:rsidR="00E464CC" w:rsidRPr="00B94E33">
        <w:rPr>
          <w:lang w:val="fr-FR"/>
        </w:rPr>
        <w:t xml:space="preserve"> (déc.), n</w:t>
      </w:r>
      <w:r w:rsidR="00E464CC" w:rsidRPr="00B94E33">
        <w:rPr>
          <w:vertAlign w:val="superscript"/>
          <w:lang w:val="fr-FR"/>
        </w:rPr>
        <w:t>o</w:t>
      </w:r>
      <w:r w:rsidR="00E464CC" w:rsidRPr="00B94E33">
        <w:rPr>
          <w:lang w:val="fr-FR"/>
        </w:rPr>
        <w:t xml:space="preserve"> </w:t>
      </w:r>
      <w:hyperlink r:id="rId16" w:anchor="%7B%22appno%22:%5B%2246477/99%22%5D%7D" w:history="1">
        <w:r w:rsidR="00E464CC" w:rsidRPr="00B94E33">
          <w:rPr>
            <w:lang w:val="fr-FR"/>
          </w:rPr>
          <w:t>46477/99</w:t>
        </w:r>
      </w:hyperlink>
      <w:r w:rsidR="00E464CC" w:rsidRPr="00B94E33">
        <w:rPr>
          <w:lang w:val="fr-FR"/>
        </w:rPr>
        <w:t>, 7 juin 2001</w:t>
      </w:r>
      <w:r w:rsidRPr="00B94E33">
        <w:rPr>
          <w:lang w:val="fr-FR"/>
        </w:rPr>
        <w:t>),</w:t>
      </w:r>
      <w:r w:rsidR="00934D8E" w:rsidRPr="00B94E33">
        <w:rPr>
          <w:lang w:val="fr-FR"/>
        </w:rPr>
        <w:t xml:space="preserve"> </w:t>
      </w:r>
      <w:r w:rsidR="001F6F4C" w:rsidRPr="00B94E33">
        <w:rPr>
          <w:lang w:val="fr-FR"/>
        </w:rPr>
        <w:t>la requérante</w:t>
      </w:r>
      <w:r w:rsidRPr="00B94E33">
        <w:rPr>
          <w:lang w:val="fr-FR"/>
        </w:rPr>
        <w:t xml:space="preserve"> </w:t>
      </w:r>
      <w:r w:rsidR="00787DF5" w:rsidRPr="00B94E33">
        <w:rPr>
          <w:lang w:val="fr-FR"/>
        </w:rPr>
        <w:t>indique qu</w:t>
      </w:r>
      <w:r w:rsidR="00B94E33" w:rsidRPr="00B94E33">
        <w:rPr>
          <w:lang w:val="fr-FR"/>
        </w:rPr>
        <w:t>’</w:t>
      </w:r>
      <w:r w:rsidR="00787DF5" w:rsidRPr="00B94E33">
        <w:rPr>
          <w:lang w:val="fr-FR"/>
        </w:rPr>
        <w:t>elle a pris conscience seulement le</w:t>
      </w:r>
      <w:r w:rsidR="00E464CC" w:rsidRPr="00B94E33">
        <w:rPr>
          <w:lang w:val="fr-FR"/>
        </w:rPr>
        <w:t xml:space="preserve"> 26 novembre</w:t>
      </w:r>
      <w:r w:rsidR="00056469" w:rsidRPr="00B94E33">
        <w:rPr>
          <w:lang w:val="fr-FR"/>
        </w:rPr>
        <w:t xml:space="preserve"> 2013</w:t>
      </w:r>
      <w:r w:rsidR="00E464CC" w:rsidRPr="00B94E33">
        <w:rPr>
          <w:lang w:val="fr-FR"/>
        </w:rPr>
        <w:t xml:space="preserve"> que le</w:t>
      </w:r>
      <w:r w:rsidR="00DD7498" w:rsidRPr="00B94E33">
        <w:rPr>
          <w:lang w:val="fr-FR"/>
        </w:rPr>
        <w:t xml:space="preserve"> seul</w:t>
      </w:r>
      <w:r w:rsidR="00E464CC" w:rsidRPr="00B94E33">
        <w:rPr>
          <w:lang w:val="fr-FR"/>
        </w:rPr>
        <w:t xml:space="preserve"> </w:t>
      </w:r>
      <w:r w:rsidR="00056469" w:rsidRPr="00B94E33">
        <w:rPr>
          <w:lang w:val="fr-FR"/>
        </w:rPr>
        <w:t>remède</w:t>
      </w:r>
      <w:r w:rsidR="001F6F4C" w:rsidRPr="00B94E33">
        <w:rPr>
          <w:lang w:val="fr-FR"/>
        </w:rPr>
        <w:t xml:space="preserve"> à sa disposition </w:t>
      </w:r>
      <w:r w:rsidR="00E464CC" w:rsidRPr="00B94E33">
        <w:rPr>
          <w:lang w:val="fr-FR"/>
        </w:rPr>
        <w:t xml:space="preserve">était </w:t>
      </w:r>
      <w:r w:rsidR="00BD4DF2" w:rsidRPr="00B94E33">
        <w:rPr>
          <w:lang w:val="fr-FR"/>
        </w:rPr>
        <w:t>ineffectif</w:t>
      </w:r>
      <w:r w:rsidR="00787DF5" w:rsidRPr="00B94E33">
        <w:rPr>
          <w:lang w:val="fr-FR"/>
        </w:rPr>
        <w:t xml:space="preserve">. Elle </w:t>
      </w:r>
      <w:r w:rsidR="00DC1FCD" w:rsidRPr="00B94E33">
        <w:rPr>
          <w:lang w:val="fr-FR"/>
        </w:rPr>
        <w:t>estime</w:t>
      </w:r>
      <w:r w:rsidR="00787DF5" w:rsidRPr="00B94E33">
        <w:rPr>
          <w:lang w:val="fr-FR"/>
        </w:rPr>
        <w:t xml:space="preserve"> que</w:t>
      </w:r>
      <w:r w:rsidR="00E464CC" w:rsidRPr="00B94E33">
        <w:rPr>
          <w:lang w:val="fr-FR"/>
        </w:rPr>
        <w:t xml:space="preserve"> c</w:t>
      </w:r>
      <w:r w:rsidR="00B94E33" w:rsidRPr="00B94E33">
        <w:rPr>
          <w:lang w:val="fr-FR"/>
        </w:rPr>
        <w:t>’</w:t>
      </w:r>
      <w:r w:rsidR="00E464CC" w:rsidRPr="00B94E33">
        <w:rPr>
          <w:lang w:val="fr-FR"/>
        </w:rPr>
        <w:t xml:space="preserve">est cette date qui doit être </w:t>
      </w:r>
      <w:r w:rsidR="00787DF5" w:rsidRPr="00B94E33">
        <w:rPr>
          <w:lang w:val="fr-FR"/>
        </w:rPr>
        <w:t>considérée comme étant le</w:t>
      </w:r>
      <w:r w:rsidR="00E464CC" w:rsidRPr="00B94E33">
        <w:rPr>
          <w:lang w:val="fr-FR"/>
        </w:rPr>
        <w:t xml:space="preserve"> point de départ </w:t>
      </w:r>
      <w:r w:rsidR="00787DF5" w:rsidRPr="00B94E33">
        <w:rPr>
          <w:lang w:val="fr-FR"/>
        </w:rPr>
        <w:t>du délai</w:t>
      </w:r>
      <w:r w:rsidR="00E464CC" w:rsidRPr="00B94E33">
        <w:rPr>
          <w:lang w:val="fr-FR"/>
        </w:rPr>
        <w:t xml:space="preserve"> de six mois.</w:t>
      </w:r>
    </w:p>
    <w:p w:rsidR="00D92C89" w:rsidRPr="00B94E33" w:rsidRDefault="001F6F4C"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64</w:t>
      </w:r>
      <w:r w:rsidRPr="00B94E33">
        <w:rPr>
          <w:lang w:val="fr-FR"/>
        </w:rPr>
        <w:fldChar w:fldCharType="end"/>
      </w:r>
      <w:r w:rsidRPr="00B94E33">
        <w:rPr>
          <w:lang w:val="fr-FR"/>
        </w:rPr>
        <w:t>.  </w:t>
      </w:r>
      <w:r w:rsidR="004A5744" w:rsidRPr="00B94E33">
        <w:rPr>
          <w:lang w:val="fr-FR"/>
        </w:rPr>
        <w:t>Elle</w:t>
      </w:r>
      <w:r w:rsidRPr="00B94E33">
        <w:rPr>
          <w:lang w:val="fr-FR"/>
        </w:rPr>
        <w:t xml:space="preserve"> </w:t>
      </w:r>
      <w:r w:rsidR="00D92C89" w:rsidRPr="00B94E33">
        <w:rPr>
          <w:lang w:val="fr-FR"/>
        </w:rPr>
        <w:t>ajoute que</w:t>
      </w:r>
      <w:r w:rsidR="00787DF5" w:rsidRPr="00B94E33">
        <w:rPr>
          <w:lang w:val="fr-FR"/>
        </w:rPr>
        <w:t xml:space="preserve"> </w:t>
      </w:r>
      <w:r w:rsidR="00D92C89" w:rsidRPr="00B94E33">
        <w:rPr>
          <w:lang w:val="fr-FR"/>
        </w:rPr>
        <w:t>l</w:t>
      </w:r>
      <w:r w:rsidR="00B94E33" w:rsidRPr="00B94E33">
        <w:rPr>
          <w:lang w:val="fr-FR"/>
        </w:rPr>
        <w:t>’</w:t>
      </w:r>
      <w:r w:rsidR="00D92C89" w:rsidRPr="00B94E33">
        <w:rPr>
          <w:lang w:val="fr-FR"/>
        </w:rPr>
        <w:t>enquête pour maltraitance</w:t>
      </w:r>
      <w:r w:rsidRPr="00B94E33">
        <w:rPr>
          <w:lang w:val="fr-FR"/>
        </w:rPr>
        <w:t xml:space="preserve"> fa</w:t>
      </w:r>
      <w:r w:rsidR="00DD7498" w:rsidRPr="00B94E33">
        <w:rPr>
          <w:lang w:val="fr-FR"/>
        </w:rPr>
        <w:t>miliale</w:t>
      </w:r>
      <w:r w:rsidR="00D92C89" w:rsidRPr="00B94E33">
        <w:rPr>
          <w:lang w:val="fr-FR"/>
        </w:rPr>
        <w:t xml:space="preserve"> a été </w:t>
      </w:r>
      <w:r w:rsidRPr="00B94E33">
        <w:rPr>
          <w:lang w:val="fr-FR"/>
        </w:rPr>
        <w:t>rouverte</w:t>
      </w:r>
      <w:r w:rsidR="00D92C89" w:rsidRPr="00B94E33">
        <w:rPr>
          <w:lang w:val="fr-FR"/>
        </w:rPr>
        <w:t xml:space="preserve"> tout</w:t>
      </w:r>
      <w:r w:rsidR="00787DF5" w:rsidRPr="00B94E33">
        <w:rPr>
          <w:lang w:val="fr-FR"/>
        </w:rPr>
        <w:t xml:space="preserve"> de</w:t>
      </w:r>
      <w:r w:rsidR="00D92C89" w:rsidRPr="00B94E33">
        <w:rPr>
          <w:lang w:val="fr-FR"/>
        </w:rPr>
        <w:t xml:space="preserve"> suite </w:t>
      </w:r>
      <w:r w:rsidRPr="00B94E33">
        <w:rPr>
          <w:lang w:val="fr-FR"/>
        </w:rPr>
        <w:t>après le meurtre</w:t>
      </w:r>
      <w:r w:rsidR="004A5744" w:rsidRPr="00B94E33">
        <w:rPr>
          <w:lang w:val="fr-FR"/>
        </w:rPr>
        <w:t>,</w:t>
      </w:r>
      <w:r w:rsidR="00DC1FCD" w:rsidRPr="00B94E33">
        <w:rPr>
          <w:lang w:val="fr-FR"/>
        </w:rPr>
        <w:t xml:space="preserve"> et</w:t>
      </w:r>
      <w:r w:rsidR="003C1AE0" w:rsidRPr="00B94E33">
        <w:rPr>
          <w:lang w:val="fr-FR"/>
        </w:rPr>
        <w:t xml:space="preserve"> que A.T. a été condamné par le </w:t>
      </w:r>
      <w:r w:rsidR="00750E3D" w:rsidRPr="00B94E33">
        <w:rPr>
          <w:lang w:val="fr-FR"/>
        </w:rPr>
        <w:t>GUP e</w:t>
      </w:r>
      <w:r w:rsidR="00934D8E" w:rsidRPr="00B94E33">
        <w:rPr>
          <w:lang w:val="fr-FR"/>
        </w:rPr>
        <w:t>n 2015 et</w:t>
      </w:r>
      <w:r w:rsidR="003C1AE0" w:rsidRPr="00B94E33">
        <w:rPr>
          <w:lang w:val="fr-FR"/>
        </w:rPr>
        <w:t xml:space="preserve"> par la cour d</w:t>
      </w:r>
      <w:r w:rsidR="00B94E33" w:rsidRPr="00B94E33">
        <w:rPr>
          <w:lang w:val="fr-FR"/>
        </w:rPr>
        <w:t>’</w:t>
      </w:r>
      <w:r w:rsidR="003C1AE0" w:rsidRPr="00B94E33">
        <w:rPr>
          <w:lang w:val="fr-FR"/>
        </w:rPr>
        <w:t>appel en 2016</w:t>
      </w:r>
      <w:r w:rsidR="00DC1FCD" w:rsidRPr="00B94E33">
        <w:rPr>
          <w:lang w:val="fr-FR"/>
        </w:rPr>
        <w:t xml:space="preserve">. Elle soutient que, </w:t>
      </w:r>
      <w:r w:rsidR="00787DF5" w:rsidRPr="00B94E33">
        <w:rPr>
          <w:lang w:val="fr-FR"/>
        </w:rPr>
        <w:t xml:space="preserve">par conséquent, </w:t>
      </w:r>
      <w:r w:rsidR="00D92C89" w:rsidRPr="00B94E33">
        <w:rPr>
          <w:lang w:val="fr-FR"/>
        </w:rPr>
        <w:t>le délai de six mois a été respecté.</w:t>
      </w:r>
    </w:p>
    <w:p w:rsidR="005B577D" w:rsidRPr="00B94E33" w:rsidRDefault="00BF3C61" w:rsidP="00B94E33">
      <w:pPr>
        <w:pStyle w:val="ECHRPara"/>
        <w:rPr>
          <w:i/>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65</w:t>
      </w:r>
      <w:r w:rsidRPr="00B94E33">
        <w:rPr>
          <w:lang w:val="fr-FR"/>
        </w:rPr>
        <w:fldChar w:fldCharType="end"/>
      </w:r>
      <w:r w:rsidRPr="00B94E33">
        <w:rPr>
          <w:lang w:val="fr-FR"/>
        </w:rPr>
        <w:t>.  </w:t>
      </w:r>
      <w:r w:rsidR="003C1AE0" w:rsidRPr="00B94E33">
        <w:rPr>
          <w:lang w:val="fr-FR"/>
        </w:rPr>
        <w:t>La</w:t>
      </w:r>
      <w:r w:rsidR="00D92C89" w:rsidRPr="00B94E33">
        <w:rPr>
          <w:lang w:val="fr-FR"/>
        </w:rPr>
        <w:t xml:space="preserve"> Cour observe que la requérante a introduit sa requête dans un délai de six mois à compter </w:t>
      </w:r>
      <w:r w:rsidR="004A5744" w:rsidRPr="00B94E33">
        <w:rPr>
          <w:lang w:val="fr-FR"/>
        </w:rPr>
        <w:t>de la date à laquelle</w:t>
      </w:r>
      <w:r w:rsidR="00D92C89" w:rsidRPr="00B94E33">
        <w:rPr>
          <w:lang w:val="fr-FR"/>
        </w:rPr>
        <w:t xml:space="preserve"> </w:t>
      </w:r>
      <w:r w:rsidR="003C1AE0" w:rsidRPr="00B94E33">
        <w:rPr>
          <w:lang w:val="fr-FR"/>
        </w:rPr>
        <w:t>son fils</w:t>
      </w:r>
      <w:r w:rsidR="00D92C89" w:rsidRPr="00B94E33">
        <w:rPr>
          <w:lang w:val="fr-FR"/>
        </w:rPr>
        <w:t xml:space="preserve"> a été tué </w:t>
      </w:r>
      <w:r w:rsidR="003C1AE0" w:rsidRPr="00B94E33">
        <w:rPr>
          <w:lang w:val="fr-FR"/>
        </w:rPr>
        <w:t xml:space="preserve">et </w:t>
      </w:r>
      <w:r w:rsidR="004A5744" w:rsidRPr="00B94E33">
        <w:rPr>
          <w:lang w:val="fr-FR"/>
        </w:rPr>
        <w:t>à laquelle</w:t>
      </w:r>
      <w:r w:rsidR="00DC1FCD" w:rsidRPr="00B94E33">
        <w:rPr>
          <w:lang w:val="fr-FR"/>
        </w:rPr>
        <w:t xml:space="preserve"> </w:t>
      </w:r>
      <w:r w:rsidR="003C1AE0" w:rsidRPr="00B94E33">
        <w:rPr>
          <w:lang w:val="fr-FR"/>
        </w:rPr>
        <w:t>elle</w:t>
      </w:r>
      <w:r w:rsidR="00DC1FCD" w:rsidRPr="00B94E33">
        <w:rPr>
          <w:lang w:val="fr-FR"/>
        </w:rPr>
        <w:t>-même</w:t>
      </w:r>
      <w:r w:rsidR="003C1AE0" w:rsidRPr="00B94E33">
        <w:rPr>
          <w:lang w:val="fr-FR"/>
        </w:rPr>
        <w:t xml:space="preserve"> a subi une </w:t>
      </w:r>
      <w:r w:rsidR="005B577D" w:rsidRPr="00B94E33">
        <w:rPr>
          <w:lang w:val="fr-FR"/>
        </w:rPr>
        <w:t>tentative</w:t>
      </w:r>
      <w:r w:rsidR="003C1AE0" w:rsidRPr="00B94E33">
        <w:rPr>
          <w:lang w:val="fr-FR"/>
        </w:rPr>
        <w:t xml:space="preserve"> de meurtre </w:t>
      </w:r>
      <w:r w:rsidR="00DC1FCD" w:rsidRPr="00B94E33">
        <w:rPr>
          <w:lang w:val="fr-FR"/>
        </w:rPr>
        <w:t>de la part de A.T. Elle</w:t>
      </w:r>
      <w:r w:rsidR="00D92C89" w:rsidRPr="00B94E33">
        <w:rPr>
          <w:lang w:val="fr-FR"/>
        </w:rPr>
        <w:t xml:space="preserve"> considère que c</w:t>
      </w:r>
      <w:r w:rsidR="00B94E33" w:rsidRPr="00B94E33">
        <w:rPr>
          <w:lang w:val="fr-FR"/>
        </w:rPr>
        <w:t>’</w:t>
      </w:r>
      <w:r w:rsidR="00D92C89" w:rsidRPr="00B94E33">
        <w:rPr>
          <w:lang w:val="fr-FR"/>
        </w:rPr>
        <w:t>est lorsqu</w:t>
      </w:r>
      <w:r w:rsidR="00DC1FCD" w:rsidRPr="00B94E33">
        <w:rPr>
          <w:lang w:val="fr-FR"/>
        </w:rPr>
        <w:t>e la requérante</w:t>
      </w:r>
      <w:r w:rsidR="00D92C89" w:rsidRPr="00B94E33">
        <w:rPr>
          <w:lang w:val="fr-FR"/>
        </w:rPr>
        <w:t xml:space="preserve"> s</w:t>
      </w:r>
      <w:r w:rsidR="00B94E33" w:rsidRPr="00B94E33">
        <w:rPr>
          <w:lang w:val="fr-FR"/>
        </w:rPr>
        <w:t>’</w:t>
      </w:r>
      <w:r w:rsidR="00D92C89" w:rsidRPr="00B94E33">
        <w:rPr>
          <w:lang w:val="fr-FR"/>
        </w:rPr>
        <w:t>est rendu compte de l</w:t>
      </w:r>
      <w:r w:rsidR="00B94E33" w:rsidRPr="00B94E33">
        <w:rPr>
          <w:lang w:val="fr-FR"/>
        </w:rPr>
        <w:t>’</w:t>
      </w:r>
      <w:r w:rsidR="00D92C89" w:rsidRPr="00B94E33">
        <w:rPr>
          <w:lang w:val="fr-FR"/>
        </w:rPr>
        <w:t xml:space="preserve">incapacité des autorités à empêcher </w:t>
      </w:r>
      <w:r w:rsidR="003C1AE0" w:rsidRPr="00B94E33">
        <w:rPr>
          <w:lang w:val="fr-FR"/>
        </w:rPr>
        <w:t>A.T</w:t>
      </w:r>
      <w:r w:rsidR="00934D8E" w:rsidRPr="00B94E33">
        <w:rPr>
          <w:lang w:val="fr-FR"/>
        </w:rPr>
        <w:t>.</w:t>
      </w:r>
      <w:r w:rsidR="003C1AE0" w:rsidRPr="00B94E33">
        <w:rPr>
          <w:lang w:val="fr-FR"/>
        </w:rPr>
        <w:t xml:space="preserve"> de commettre de nouvelles violences</w:t>
      </w:r>
      <w:r w:rsidR="00DD7498" w:rsidRPr="00B94E33">
        <w:rPr>
          <w:lang w:val="fr-FR"/>
        </w:rPr>
        <w:t xml:space="preserve"> </w:t>
      </w:r>
      <w:r w:rsidR="004C0D03" w:rsidRPr="00B94E33">
        <w:rPr>
          <w:lang w:val="fr-FR"/>
        </w:rPr>
        <w:t>qu</w:t>
      </w:r>
      <w:r w:rsidR="00B94E33" w:rsidRPr="00B94E33">
        <w:rPr>
          <w:lang w:val="fr-FR"/>
        </w:rPr>
        <w:t>’</w:t>
      </w:r>
      <w:r w:rsidR="004C0D03" w:rsidRPr="00B94E33">
        <w:rPr>
          <w:lang w:val="fr-FR"/>
        </w:rPr>
        <w:t>elle a pris conscience du caractère ineffectif des recours disponibles dans l</w:t>
      </w:r>
      <w:r w:rsidR="00B94E33" w:rsidRPr="00B94E33">
        <w:rPr>
          <w:lang w:val="fr-FR"/>
        </w:rPr>
        <w:t>’</w:t>
      </w:r>
      <w:r w:rsidR="004C0D03" w:rsidRPr="00B94E33">
        <w:rPr>
          <w:lang w:val="fr-FR"/>
        </w:rPr>
        <w:t>ordre juridique interne</w:t>
      </w:r>
      <w:r w:rsidRPr="00B94E33">
        <w:rPr>
          <w:lang w:val="fr-FR"/>
        </w:rPr>
        <w:t xml:space="preserve"> (</w:t>
      </w:r>
      <w:r w:rsidRPr="00B94E33">
        <w:rPr>
          <w:i/>
          <w:lang w:val="fr-FR"/>
        </w:rPr>
        <w:t>Opuz</w:t>
      </w:r>
      <w:r w:rsidRPr="00B94E33">
        <w:rPr>
          <w:lang w:val="fr-FR"/>
        </w:rPr>
        <w:t>,</w:t>
      </w:r>
      <w:r w:rsidR="00DC1FCD" w:rsidRPr="00B94E33">
        <w:rPr>
          <w:lang w:val="fr-FR"/>
        </w:rPr>
        <w:t xml:space="preserve"> précité,</w:t>
      </w:r>
      <w:r w:rsidRPr="00B94E33">
        <w:rPr>
          <w:lang w:val="fr-FR"/>
        </w:rPr>
        <w:t xml:space="preserve"> § 112</w:t>
      </w:r>
      <w:r w:rsidR="00DC1FCD" w:rsidRPr="00B94E33">
        <w:rPr>
          <w:lang w:val="fr-FR"/>
        </w:rPr>
        <w:t>)</w:t>
      </w:r>
      <w:r w:rsidR="004C0D03" w:rsidRPr="00B94E33">
        <w:rPr>
          <w:lang w:val="fr-FR"/>
        </w:rPr>
        <w:t xml:space="preserve">. </w:t>
      </w:r>
      <w:r w:rsidR="003C1AE0" w:rsidRPr="00B94E33">
        <w:rPr>
          <w:lang w:val="fr-FR"/>
        </w:rPr>
        <w:t xml:space="preserve">De plus, </w:t>
      </w:r>
      <w:r w:rsidR="008F6200" w:rsidRPr="00B94E33">
        <w:rPr>
          <w:lang w:val="fr-FR"/>
        </w:rPr>
        <w:t>elle</w:t>
      </w:r>
      <w:r w:rsidR="003C1AE0" w:rsidRPr="00B94E33">
        <w:rPr>
          <w:lang w:val="fr-FR"/>
        </w:rPr>
        <w:t xml:space="preserve"> note</w:t>
      </w:r>
      <w:r w:rsidR="00E33245" w:rsidRPr="00B94E33">
        <w:rPr>
          <w:lang w:val="fr-FR"/>
        </w:rPr>
        <w:t xml:space="preserve"> que la plainte </w:t>
      </w:r>
      <w:r w:rsidR="00DC1FCD" w:rsidRPr="00B94E33">
        <w:rPr>
          <w:lang w:val="fr-FR"/>
        </w:rPr>
        <w:t xml:space="preserve">de la requérante </w:t>
      </w:r>
      <w:r w:rsidR="00E33245" w:rsidRPr="00B94E33">
        <w:rPr>
          <w:lang w:val="fr-FR"/>
        </w:rPr>
        <w:t>a été seulement partiellement classé</w:t>
      </w:r>
      <w:r w:rsidR="00DC1FCD" w:rsidRPr="00B94E33">
        <w:rPr>
          <w:lang w:val="fr-FR"/>
        </w:rPr>
        <w:t>e</w:t>
      </w:r>
      <w:r w:rsidR="00E33245" w:rsidRPr="00B94E33">
        <w:rPr>
          <w:lang w:val="fr-FR"/>
        </w:rPr>
        <w:t xml:space="preserve"> et que A.T. a été renvoyé en </w:t>
      </w:r>
      <w:r w:rsidR="004C0D03" w:rsidRPr="00B94E33">
        <w:rPr>
          <w:lang w:val="fr-FR"/>
        </w:rPr>
        <w:t>jugement</w:t>
      </w:r>
      <w:r w:rsidR="00E33245" w:rsidRPr="00B94E33">
        <w:rPr>
          <w:lang w:val="fr-FR"/>
        </w:rPr>
        <w:t xml:space="preserve"> pour les </w:t>
      </w:r>
      <w:r w:rsidR="00C5643E" w:rsidRPr="00B94E33">
        <w:rPr>
          <w:lang w:val="fr-FR"/>
        </w:rPr>
        <w:t>lésions corporelles</w:t>
      </w:r>
      <w:r w:rsidR="00DC1FCD" w:rsidRPr="00B94E33">
        <w:rPr>
          <w:lang w:val="fr-FR"/>
        </w:rPr>
        <w:t xml:space="preserve"> </w:t>
      </w:r>
      <w:r w:rsidR="00934D8E" w:rsidRPr="00B94E33">
        <w:rPr>
          <w:lang w:val="fr-FR"/>
        </w:rPr>
        <w:t xml:space="preserve">aggravées </w:t>
      </w:r>
      <w:r w:rsidR="00E33245" w:rsidRPr="00B94E33">
        <w:rPr>
          <w:lang w:val="fr-FR"/>
        </w:rPr>
        <w:t>qu</w:t>
      </w:r>
      <w:r w:rsidR="00B94E33" w:rsidRPr="00B94E33">
        <w:rPr>
          <w:lang w:val="fr-FR"/>
        </w:rPr>
        <w:t>’</w:t>
      </w:r>
      <w:r w:rsidR="00E33245" w:rsidRPr="00B94E33">
        <w:rPr>
          <w:lang w:val="fr-FR"/>
        </w:rPr>
        <w:t xml:space="preserve">il </w:t>
      </w:r>
      <w:r w:rsidR="004C0D03" w:rsidRPr="00B94E33">
        <w:rPr>
          <w:lang w:val="fr-FR"/>
        </w:rPr>
        <w:t>a</w:t>
      </w:r>
      <w:r w:rsidR="00E33245" w:rsidRPr="00B94E33">
        <w:rPr>
          <w:lang w:val="fr-FR"/>
        </w:rPr>
        <w:t xml:space="preserve">vait </w:t>
      </w:r>
      <w:r w:rsidR="00DC1FCD" w:rsidRPr="00B94E33">
        <w:rPr>
          <w:lang w:val="fr-FR"/>
        </w:rPr>
        <w:t xml:space="preserve">infligées </w:t>
      </w:r>
      <w:r w:rsidR="00E33245" w:rsidRPr="00B94E33">
        <w:rPr>
          <w:lang w:val="fr-FR"/>
        </w:rPr>
        <w:t>à la requérante lors de l</w:t>
      </w:r>
      <w:r w:rsidR="00B94E33" w:rsidRPr="00B94E33">
        <w:rPr>
          <w:lang w:val="fr-FR"/>
        </w:rPr>
        <w:t>’</w:t>
      </w:r>
      <w:r w:rsidR="004C0D03" w:rsidRPr="00B94E33">
        <w:rPr>
          <w:lang w:val="fr-FR"/>
        </w:rPr>
        <w:t>agression</w:t>
      </w:r>
      <w:r w:rsidR="00E33245" w:rsidRPr="00B94E33">
        <w:rPr>
          <w:lang w:val="fr-FR"/>
        </w:rPr>
        <w:t xml:space="preserve"> </w:t>
      </w:r>
      <w:r w:rsidR="00DC1FCD" w:rsidRPr="00B94E33">
        <w:rPr>
          <w:lang w:val="fr-FR"/>
        </w:rPr>
        <w:t>du mois d</w:t>
      </w:r>
      <w:r w:rsidR="00B94E33" w:rsidRPr="00B94E33">
        <w:rPr>
          <w:lang w:val="fr-FR"/>
        </w:rPr>
        <w:t>’</w:t>
      </w:r>
      <w:r w:rsidR="004C0D03" w:rsidRPr="00B94E33">
        <w:rPr>
          <w:lang w:val="fr-FR"/>
        </w:rPr>
        <w:t>août</w:t>
      </w:r>
      <w:r w:rsidR="00E33245" w:rsidRPr="00B94E33">
        <w:rPr>
          <w:lang w:val="fr-FR"/>
        </w:rPr>
        <w:t xml:space="preserve"> 2012.</w:t>
      </w:r>
      <w:r w:rsidR="00D92C89" w:rsidRPr="00B94E33">
        <w:rPr>
          <w:lang w:val="fr-FR"/>
        </w:rPr>
        <w:t xml:space="preserve"> </w:t>
      </w:r>
      <w:r w:rsidR="005B577D" w:rsidRPr="00B94E33">
        <w:rPr>
          <w:lang w:val="fr-FR"/>
        </w:rPr>
        <w:t xml:space="preserve">En outre, </w:t>
      </w:r>
      <w:r w:rsidR="008F6200" w:rsidRPr="00B94E33">
        <w:rPr>
          <w:lang w:val="fr-FR"/>
        </w:rPr>
        <w:t>elle</w:t>
      </w:r>
      <w:r w:rsidR="00DC1FCD" w:rsidRPr="00B94E33">
        <w:rPr>
          <w:lang w:val="fr-FR"/>
        </w:rPr>
        <w:t xml:space="preserve"> constate que </w:t>
      </w:r>
      <w:r w:rsidR="005B577D" w:rsidRPr="00B94E33">
        <w:rPr>
          <w:lang w:val="fr-FR"/>
        </w:rPr>
        <w:t>l</w:t>
      </w:r>
      <w:r w:rsidR="00B94E33" w:rsidRPr="00B94E33">
        <w:rPr>
          <w:lang w:val="fr-FR"/>
        </w:rPr>
        <w:t>’</w:t>
      </w:r>
      <w:r w:rsidR="005B577D" w:rsidRPr="00B94E33">
        <w:rPr>
          <w:lang w:val="fr-FR"/>
        </w:rPr>
        <w:t xml:space="preserve">enquête pour maltraitance familiale a été rouverte en novembre 2013 et </w:t>
      </w:r>
      <w:r w:rsidR="00DC1FCD" w:rsidRPr="00B94E33">
        <w:rPr>
          <w:lang w:val="fr-FR"/>
        </w:rPr>
        <w:t xml:space="preserve">que </w:t>
      </w:r>
      <w:r w:rsidR="005B577D" w:rsidRPr="00B94E33">
        <w:rPr>
          <w:lang w:val="fr-FR"/>
        </w:rPr>
        <w:t xml:space="preserve">A.T. a été condamné </w:t>
      </w:r>
      <w:r w:rsidR="005E3020" w:rsidRPr="00B94E33">
        <w:rPr>
          <w:lang w:val="fr-FR"/>
        </w:rPr>
        <w:t>pour lésions corporelles aggravées</w:t>
      </w:r>
      <w:r w:rsidR="005B577D" w:rsidRPr="00B94E33">
        <w:rPr>
          <w:lang w:val="fr-FR"/>
        </w:rPr>
        <w:t>.</w:t>
      </w:r>
    </w:p>
    <w:p w:rsidR="00D85C6F" w:rsidRPr="00B94E33" w:rsidRDefault="00BF3C61"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66</w:t>
      </w:r>
      <w:r w:rsidRPr="00B94E33">
        <w:rPr>
          <w:lang w:val="fr-FR"/>
        </w:rPr>
        <w:fldChar w:fldCharType="end"/>
      </w:r>
      <w:r w:rsidRPr="00B94E33">
        <w:rPr>
          <w:lang w:val="fr-FR"/>
        </w:rPr>
        <w:t>.  </w:t>
      </w:r>
      <w:r w:rsidR="00DC1FCD" w:rsidRPr="00B94E33">
        <w:rPr>
          <w:lang w:val="fr-FR"/>
        </w:rPr>
        <w:t>À</w:t>
      </w:r>
      <w:r w:rsidR="005B577D" w:rsidRPr="00B94E33">
        <w:rPr>
          <w:lang w:val="fr-FR"/>
        </w:rPr>
        <w:t xml:space="preserve"> la lumière de ce qui précède</w:t>
      </w:r>
      <w:r w:rsidR="00DC1FCD" w:rsidRPr="00B94E33">
        <w:rPr>
          <w:lang w:val="fr-FR"/>
        </w:rPr>
        <w:t>,</w:t>
      </w:r>
      <w:r w:rsidR="00D92C89" w:rsidRPr="00B94E33">
        <w:rPr>
          <w:lang w:val="fr-FR"/>
        </w:rPr>
        <w:t xml:space="preserve"> la Cour estime que le délai de six</w:t>
      </w:r>
      <w:r w:rsidR="00DC1FCD" w:rsidRPr="00B94E33">
        <w:rPr>
          <w:lang w:val="fr-FR"/>
        </w:rPr>
        <w:t> </w:t>
      </w:r>
      <w:r w:rsidR="00D92C89" w:rsidRPr="00B94E33">
        <w:rPr>
          <w:lang w:val="fr-FR"/>
        </w:rPr>
        <w:t xml:space="preserve">mois a commencé à courir au plus tôt le </w:t>
      </w:r>
      <w:r w:rsidR="00D85C6F" w:rsidRPr="00B94E33">
        <w:rPr>
          <w:lang w:val="fr-FR"/>
        </w:rPr>
        <w:t>2</w:t>
      </w:r>
      <w:r w:rsidR="00934D8E" w:rsidRPr="00B94E33">
        <w:rPr>
          <w:lang w:val="fr-FR"/>
        </w:rPr>
        <w:t>6</w:t>
      </w:r>
      <w:r w:rsidR="00D85C6F" w:rsidRPr="00B94E33">
        <w:rPr>
          <w:lang w:val="fr-FR"/>
        </w:rPr>
        <w:t xml:space="preserve"> novembre 2013</w:t>
      </w:r>
      <w:r w:rsidR="00934D8E" w:rsidRPr="00B94E33">
        <w:rPr>
          <w:lang w:val="fr-FR"/>
        </w:rPr>
        <w:t>.</w:t>
      </w:r>
    </w:p>
    <w:p w:rsidR="00D92C89" w:rsidRPr="00B94E33" w:rsidRDefault="00BF3C61"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67</w:t>
      </w:r>
      <w:r w:rsidRPr="00B94E33">
        <w:rPr>
          <w:lang w:val="fr-FR"/>
        </w:rPr>
        <w:fldChar w:fldCharType="end"/>
      </w:r>
      <w:r w:rsidRPr="00B94E33">
        <w:rPr>
          <w:lang w:val="fr-FR"/>
        </w:rPr>
        <w:t>.  </w:t>
      </w:r>
      <w:r w:rsidR="00D92C89" w:rsidRPr="00B94E33">
        <w:rPr>
          <w:lang w:val="fr-FR"/>
        </w:rPr>
        <w:t>Compte tenu des particularités de l</w:t>
      </w:r>
      <w:r w:rsidR="00B94E33" w:rsidRPr="00B94E33">
        <w:rPr>
          <w:lang w:val="fr-FR"/>
        </w:rPr>
        <w:t>’</w:t>
      </w:r>
      <w:r w:rsidR="00D92C89" w:rsidRPr="00B94E33">
        <w:rPr>
          <w:lang w:val="fr-FR"/>
        </w:rPr>
        <w:t>espèce, il convient de considérer que la requérante a introduit sa requête dans le délai de six mois prévu à l</w:t>
      </w:r>
      <w:r w:rsidR="00B94E33" w:rsidRPr="00B94E33">
        <w:rPr>
          <w:lang w:val="fr-FR"/>
        </w:rPr>
        <w:t>’</w:t>
      </w:r>
      <w:r w:rsidR="00D92C89" w:rsidRPr="00B94E33">
        <w:rPr>
          <w:lang w:val="fr-FR"/>
        </w:rPr>
        <w:t>article 35 § 1 de la Convention. En conséquence, la Cour rejette l</w:t>
      </w:r>
      <w:r w:rsidR="00B94E33" w:rsidRPr="00B94E33">
        <w:rPr>
          <w:lang w:val="fr-FR"/>
        </w:rPr>
        <w:t>’</w:t>
      </w:r>
      <w:r w:rsidR="00D92C89" w:rsidRPr="00B94E33">
        <w:rPr>
          <w:lang w:val="fr-FR"/>
        </w:rPr>
        <w:t>exception préliminaire du Gouvernement tirée du non-respect de la règle des six mois.</w:t>
      </w:r>
    </w:p>
    <w:p w:rsidR="00D92C89" w:rsidRPr="00B94E33" w:rsidRDefault="00D92C89" w:rsidP="00B94E33">
      <w:pPr>
        <w:pStyle w:val="ECHRHeading2"/>
        <w:rPr>
          <w:lang w:val="fr-FR"/>
        </w:rPr>
      </w:pPr>
      <w:r w:rsidRPr="00B94E33">
        <w:rPr>
          <w:lang w:val="fr-FR"/>
        </w:rPr>
        <w:t>B.</w:t>
      </w:r>
      <w:r w:rsidR="008F6200" w:rsidRPr="00B94E33">
        <w:rPr>
          <w:lang w:val="fr-FR"/>
        </w:rPr>
        <w:t>  </w:t>
      </w:r>
      <w:r w:rsidRPr="00B94E33">
        <w:rPr>
          <w:lang w:val="fr-FR"/>
        </w:rPr>
        <w:t>Sur le non-épuisement allégué des voies de recours internes</w:t>
      </w:r>
    </w:p>
    <w:bookmarkStart w:id="19" w:name="para71"/>
    <w:bookmarkStart w:id="20" w:name="para72"/>
    <w:p w:rsidR="00533BF2" w:rsidRPr="00B94E33" w:rsidRDefault="005520B1"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68</w:t>
      </w:r>
      <w:r w:rsidRPr="00B94E33">
        <w:rPr>
          <w:lang w:val="fr-FR"/>
        </w:rPr>
        <w:fldChar w:fldCharType="end"/>
      </w:r>
      <w:bookmarkEnd w:id="19"/>
      <w:bookmarkEnd w:id="20"/>
      <w:r w:rsidRPr="00B94E33">
        <w:rPr>
          <w:lang w:val="fr-FR"/>
        </w:rPr>
        <w:t>.  Le Gouvernement excipe du non</w:t>
      </w:r>
      <w:r w:rsidR="00DC1FCD" w:rsidRPr="00B94E33">
        <w:rPr>
          <w:lang w:val="fr-FR"/>
        </w:rPr>
        <w:t>-</w:t>
      </w:r>
      <w:r w:rsidRPr="00B94E33">
        <w:rPr>
          <w:lang w:val="fr-FR"/>
        </w:rPr>
        <w:t xml:space="preserve">épuisement des </w:t>
      </w:r>
      <w:r w:rsidR="006C0E71" w:rsidRPr="00B94E33">
        <w:rPr>
          <w:lang w:val="fr-FR"/>
        </w:rPr>
        <w:t>voies</w:t>
      </w:r>
      <w:r w:rsidRPr="00B94E33">
        <w:rPr>
          <w:lang w:val="fr-FR"/>
        </w:rPr>
        <w:t xml:space="preserve"> de recours </w:t>
      </w:r>
      <w:r w:rsidR="006C0E71" w:rsidRPr="00B94E33">
        <w:rPr>
          <w:lang w:val="fr-FR"/>
        </w:rPr>
        <w:t>internes</w:t>
      </w:r>
      <w:r w:rsidRPr="00B94E33">
        <w:rPr>
          <w:lang w:val="fr-FR"/>
        </w:rPr>
        <w:t xml:space="preserve"> pour deux raisons. En premier lieu, </w:t>
      </w:r>
      <w:r w:rsidR="008F6200" w:rsidRPr="00B94E33">
        <w:rPr>
          <w:lang w:val="fr-FR"/>
        </w:rPr>
        <w:t xml:space="preserve">il indique que </w:t>
      </w:r>
      <w:r w:rsidRPr="00B94E33">
        <w:rPr>
          <w:lang w:val="fr-FR"/>
        </w:rPr>
        <w:t xml:space="preserve">la requérante a introduit </w:t>
      </w:r>
      <w:r w:rsidR="00DC1FCD" w:rsidRPr="00B94E33">
        <w:rPr>
          <w:lang w:val="fr-FR"/>
        </w:rPr>
        <w:t>s</w:t>
      </w:r>
      <w:r w:rsidRPr="00B94E33">
        <w:rPr>
          <w:lang w:val="fr-FR"/>
        </w:rPr>
        <w:t xml:space="preserve">a </w:t>
      </w:r>
      <w:r w:rsidR="006C0E71" w:rsidRPr="00B94E33">
        <w:rPr>
          <w:lang w:val="fr-FR"/>
        </w:rPr>
        <w:t>requête</w:t>
      </w:r>
      <w:r w:rsidRPr="00B94E33">
        <w:rPr>
          <w:lang w:val="fr-FR"/>
        </w:rPr>
        <w:t xml:space="preserve"> alors que la procédure pour meurtre et tentative d</w:t>
      </w:r>
      <w:r w:rsidR="006C0E71" w:rsidRPr="00B94E33">
        <w:rPr>
          <w:lang w:val="fr-FR"/>
        </w:rPr>
        <w:t>e</w:t>
      </w:r>
      <w:r w:rsidRPr="00B94E33">
        <w:rPr>
          <w:lang w:val="fr-FR"/>
        </w:rPr>
        <w:t xml:space="preserve"> </w:t>
      </w:r>
      <w:r w:rsidR="006C0E71" w:rsidRPr="00B94E33">
        <w:rPr>
          <w:lang w:val="fr-FR"/>
        </w:rPr>
        <w:t>meurtre</w:t>
      </w:r>
      <w:r w:rsidRPr="00B94E33">
        <w:rPr>
          <w:lang w:val="fr-FR"/>
        </w:rPr>
        <w:t xml:space="preserve"> </w:t>
      </w:r>
      <w:r w:rsidR="008F6200" w:rsidRPr="00B94E33">
        <w:rPr>
          <w:lang w:val="fr-FR"/>
        </w:rPr>
        <w:t xml:space="preserve">aurait </w:t>
      </w:r>
      <w:r w:rsidRPr="00B94E33">
        <w:rPr>
          <w:lang w:val="fr-FR"/>
        </w:rPr>
        <w:t xml:space="preserve">encore </w:t>
      </w:r>
      <w:r w:rsidR="008F6200" w:rsidRPr="00B94E33">
        <w:rPr>
          <w:lang w:val="fr-FR"/>
        </w:rPr>
        <w:t xml:space="preserve">été </w:t>
      </w:r>
      <w:r w:rsidRPr="00B94E33">
        <w:rPr>
          <w:lang w:val="fr-FR"/>
        </w:rPr>
        <w:t xml:space="preserve">pendante. En deuxième lieu, </w:t>
      </w:r>
      <w:r w:rsidR="008F6200" w:rsidRPr="00B94E33">
        <w:rPr>
          <w:lang w:val="fr-FR"/>
        </w:rPr>
        <w:t>il indique qu</w:t>
      </w:r>
      <w:r w:rsidR="00B94E33" w:rsidRPr="00B94E33">
        <w:rPr>
          <w:lang w:val="fr-FR"/>
        </w:rPr>
        <w:t>’</w:t>
      </w:r>
      <w:r w:rsidR="00DC1FCD" w:rsidRPr="00B94E33">
        <w:rPr>
          <w:lang w:val="fr-FR"/>
        </w:rPr>
        <w:t>elle n</w:t>
      </w:r>
      <w:r w:rsidR="00B94E33" w:rsidRPr="00B94E33">
        <w:rPr>
          <w:lang w:val="fr-FR"/>
        </w:rPr>
        <w:t>’</w:t>
      </w:r>
      <w:r w:rsidR="00DC1FCD" w:rsidRPr="00B94E33">
        <w:rPr>
          <w:lang w:val="fr-FR"/>
        </w:rPr>
        <w:t>a</w:t>
      </w:r>
      <w:r w:rsidR="00326A79" w:rsidRPr="00B94E33">
        <w:rPr>
          <w:lang w:val="fr-FR"/>
        </w:rPr>
        <w:t xml:space="preserve"> </w:t>
      </w:r>
      <w:r w:rsidR="00280F05" w:rsidRPr="00B94E33">
        <w:rPr>
          <w:lang w:val="fr-FR"/>
        </w:rPr>
        <w:t xml:space="preserve">pas </w:t>
      </w:r>
      <w:r w:rsidR="00D20706" w:rsidRPr="00B94E33">
        <w:rPr>
          <w:lang w:val="fr-FR"/>
        </w:rPr>
        <w:t>fait</w:t>
      </w:r>
      <w:r w:rsidR="00326A79" w:rsidRPr="00B94E33">
        <w:rPr>
          <w:lang w:val="fr-FR"/>
        </w:rPr>
        <w:t xml:space="preserve"> </w:t>
      </w:r>
      <w:r w:rsidR="00280FAE" w:rsidRPr="00B94E33">
        <w:rPr>
          <w:lang w:val="fr-FR"/>
        </w:rPr>
        <w:t>opposition à la demande d</w:t>
      </w:r>
      <w:r w:rsidR="00DC1FCD" w:rsidRPr="00B94E33">
        <w:rPr>
          <w:lang w:val="fr-FR"/>
        </w:rPr>
        <w:t>e</w:t>
      </w:r>
      <w:r w:rsidR="00280FAE" w:rsidRPr="00B94E33">
        <w:rPr>
          <w:lang w:val="fr-FR"/>
        </w:rPr>
        <w:t xml:space="preserve"> </w:t>
      </w:r>
      <w:r w:rsidR="00326A79" w:rsidRPr="00B94E33">
        <w:rPr>
          <w:lang w:val="fr-FR"/>
        </w:rPr>
        <w:t>classement</w:t>
      </w:r>
      <w:r w:rsidR="00280FAE" w:rsidRPr="00B94E33">
        <w:rPr>
          <w:lang w:val="fr-FR"/>
        </w:rPr>
        <w:t xml:space="preserve"> </w:t>
      </w:r>
      <w:r w:rsidR="00326A79" w:rsidRPr="00B94E33">
        <w:rPr>
          <w:lang w:val="fr-FR"/>
        </w:rPr>
        <w:t>du</w:t>
      </w:r>
      <w:r w:rsidR="00280FAE" w:rsidRPr="00B94E33">
        <w:rPr>
          <w:lang w:val="fr-FR"/>
        </w:rPr>
        <w:t xml:space="preserve"> </w:t>
      </w:r>
      <w:r w:rsidR="00D20706" w:rsidRPr="00B94E33">
        <w:rPr>
          <w:lang w:val="fr-FR"/>
        </w:rPr>
        <w:t>procureur</w:t>
      </w:r>
      <w:r w:rsidR="00280FAE" w:rsidRPr="00B94E33">
        <w:rPr>
          <w:lang w:val="fr-FR"/>
        </w:rPr>
        <w:t xml:space="preserve"> </w:t>
      </w:r>
      <w:r w:rsidR="00326A79" w:rsidRPr="00B94E33">
        <w:rPr>
          <w:lang w:val="fr-FR"/>
        </w:rPr>
        <w:t>au GIP</w:t>
      </w:r>
      <w:r w:rsidR="0040017B" w:rsidRPr="00B94E33">
        <w:rPr>
          <w:lang w:val="fr-FR"/>
        </w:rPr>
        <w:t xml:space="preserve"> </w:t>
      </w:r>
      <w:r w:rsidR="00280F05" w:rsidRPr="00B94E33">
        <w:rPr>
          <w:lang w:val="fr-FR"/>
        </w:rPr>
        <w:t xml:space="preserve">concernant </w:t>
      </w:r>
      <w:r w:rsidR="0040017B" w:rsidRPr="00B94E33">
        <w:rPr>
          <w:lang w:val="fr-FR"/>
        </w:rPr>
        <w:t>le délit de maltraitance familiale</w:t>
      </w:r>
      <w:r w:rsidR="00280F05" w:rsidRPr="00B94E33">
        <w:rPr>
          <w:lang w:val="fr-FR"/>
        </w:rPr>
        <w:t xml:space="preserve"> et </w:t>
      </w:r>
      <w:r w:rsidR="008F6200" w:rsidRPr="00B94E33">
        <w:rPr>
          <w:lang w:val="fr-FR"/>
        </w:rPr>
        <w:t>qu</w:t>
      </w:r>
      <w:r w:rsidR="00B94E33" w:rsidRPr="00B94E33">
        <w:rPr>
          <w:lang w:val="fr-FR"/>
        </w:rPr>
        <w:t>’</w:t>
      </w:r>
      <w:r w:rsidR="00280F05" w:rsidRPr="00B94E33">
        <w:rPr>
          <w:lang w:val="fr-FR"/>
        </w:rPr>
        <w:t xml:space="preserve">elle ne </w:t>
      </w:r>
      <w:r w:rsidR="008F6200" w:rsidRPr="00B94E33">
        <w:rPr>
          <w:lang w:val="fr-FR"/>
        </w:rPr>
        <w:t>s</w:t>
      </w:r>
      <w:r w:rsidR="00B94E33" w:rsidRPr="00B94E33">
        <w:rPr>
          <w:lang w:val="fr-FR"/>
        </w:rPr>
        <w:t>’</w:t>
      </w:r>
      <w:r w:rsidR="008F6200" w:rsidRPr="00B94E33">
        <w:rPr>
          <w:lang w:val="fr-FR"/>
        </w:rPr>
        <w:t>est</w:t>
      </w:r>
      <w:r w:rsidR="00280F05" w:rsidRPr="00B94E33">
        <w:rPr>
          <w:lang w:val="fr-FR"/>
        </w:rPr>
        <w:t xml:space="preserve"> pas</w:t>
      </w:r>
      <w:r w:rsidR="0040017B" w:rsidRPr="00B94E33">
        <w:rPr>
          <w:lang w:val="fr-FR"/>
        </w:rPr>
        <w:t xml:space="preserve"> </w:t>
      </w:r>
      <w:r w:rsidR="00280F05" w:rsidRPr="00B94E33">
        <w:rPr>
          <w:lang w:val="fr-FR"/>
        </w:rPr>
        <w:t xml:space="preserve">non plus </w:t>
      </w:r>
      <w:r w:rsidR="00326A79" w:rsidRPr="00B94E33">
        <w:rPr>
          <w:lang w:val="fr-FR"/>
        </w:rPr>
        <w:t>pourvue en cassation contre la décision de classement.</w:t>
      </w:r>
    </w:p>
    <w:p w:rsidR="00280FAE" w:rsidRPr="00B94E33" w:rsidRDefault="0040017B"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69</w:t>
      </w:r>
      <w:r w:rsidRPr="00B94E33">
        <w:rPr>
          <w:lang w:val="fr-FR"/>
        </w:rPr>
        <w:fldChar w:fldCharType="end"/>
      </w:r>
      <w:r w:rsidRPr="00B94E33">
        <w:rPr>
          <w:lang w:val="fr-FR"/>
        </w:rPr>
        <w:t>.  </w:t>
      </w:r>
      <w:r w:rsidR="00280F05" w:rsidRPr="00B94E33">
        <w:rPr>
          <w:lang w:val="fr-FR"/>
        </w:rPr>
        <w:t>Le Gouvernement argue que, a</w:t>
      </w:r>
      <w:r w:rsidR="00280FAE" w:rsidRPr="00B94E33">
        <w:rPr>
          <w:lang w:val="fr-FR"/>
        </w:rPr>
        <w:t>u demeurant, la requérante aurait également pu demander au juge civil d</w:t>
      </w:r>
      <w:r w:rsidR="00B94E33" w:rsidRPr="00B94E33">
        <w:rPr>
          <w:lang w:val="fr-FR"/>
        </w:rPr>
        <w:t>’</w:t>
      </w:r>
      <w:r w:rsidR="00280FAE" w:rsidRPr="00B94E33">
        <w:rPr>
          <w:lang w:val="fr-FR"/>
        </w:rPr>
        <w:t xml:space="preserve">appliquer les </w:t>
      </w:r>
      <w:r w:rsidR="00131647" w:rsidRPr="00B94E33">
        <w:rPr>
          <w:lang w:val="fr-FR"/>
        </w:rPr>
        <w:t>mesures</w:t>
      </w:r>
      <w:r w:rsidR="00280FAE" w:rsidRPr="00B94E33">
        <w:rPr>
          <w:lang w:val="fr-FR"/>
        </w:rPr>
        <w:t xml:space="preserve"> de protection </w:t>
      </w:r>
      <w:r w:rsidR="00131647" w:rsidRPr="00B94E33">
        <w:rPr>
          <w:lang w:val="fr-FR"/>
        </w:rPr>
        <w:t>prévues</w:t>
      </w:r>
      <w:r w:rsidR="00280FAE" w:rsidRPr="00B94E33">
        <w:rPr>
          <w:lang w:val="fr-FR"/>
        </w:rPr>
        <w:t xml:space="preserve"> à l</w:t>
      </w:r>
      <w:r w:rsidR="00B94E33" w:rsidRPr="00B94E33">
        <w:rPr>
          <w:lang w:val="fr-FR"/>
        </w:rPr>
        <w:t>’</w:t>
      </w:r>
      <w:r w:rsidR="00280FAE" w:rsidRPr="00B94E33">
        <w:rPr>
          <w:lang w:val="fr-FR"/>
        </w:rPr>
        <w:t>article 3</w:t>
      </w:r>
      <w:r w:rsidR="00D20706" w:rsidRPr="00B94E33">
        <w:rPr>
          <w:lang w:val="fr-FR"/>
        </w:rPr>
        <w:t xml:space="preserve">42 </w:t>
      </w:r>
      <w:r w:rsidR="00D20706" w:rsidRPr="00B94E33">
        <w:rPr>
          <w:i/>
          <w:lang w:val="fr-FR"/>
        </w:rPr>
        <w:t>bis</w:t>
      </w:r>
      <w:r w:rsidR="00D20706" w:rsidRPr="00B94E33">
        <w:rPr>
          <w:lang w:val="fr-FR"/>
        </w:rPr>
        <w:t xml:space="preserve"> et </w:t>
      </w:r>
      <w:r w:rsidR="00D20706" w:rsidRPr="00B94E33">
        <w:rPr>
          <w:i/>
          <w:lang w:val="fr-FR"/>
        </w:rPr>
        <w:t>ter</w:t>
      </w:r>
      <w:r w:rsidR="00D20706" w:rsidRPr="00B94E33">
        <w:rPr>
          <w:lang w:val="fr-FR"/>
        </w:rPr>
        <w:t xml:space="preserve"> du code civil, même </w:t>
      </w:r>
      <w:r w:rsidR="00280F05" w:rsidRPr="00B94E33">
        <w:rPr>
          <w:lang w:val="fr-FR"/>
        </w:rPr>
        <w:t>si, selon lui,</w:t>
      </w:r>
      <w:r w:rsidR="00D20706" w:rsidRPr="00B94E33">
        <w:rPr>
          <w:lang w:val="fr-FR"/>
        </w:rPr>
        <w:t xml:space="preserve"> le juge civil aurait pu ne pas les appliquer </w:t>
      </w:r>
      <w:r w:rsidR="008F6200" w:rsidRPr="00B94E33">
        <w:rPr>
          <w:lang w:val="fr-FR"/>
        </w:rPr>
        <w:t>au motif que</w:t>
      </w:r>
      <w:r w:rsidR="00280F05" w:rsidRPr="00B94E33">
        <w:rPr>
          <w:lang w:val="fr-FR"/>
        </w:rPr>
        <w:t>,</w:t>
      </w:r>
      <w:r w:rsidR="00D20706" w:rsidRPr="00B94E33">
        <w:rPr>
          <w:lang w:val="fr-FR"/>
        </w:rPr>
        <w:t xml:space="preserve"> au moment du dépôt de la plainte</w:t>
      </w:r>
      <w:r w:rsidR="00280F05" w:rsidRPr="00B94E33">
        <w:rPr>
          <w:lang w:val="fr-FR"/>
        </w:rPr>
        <w:t>,</w:t>
      </w:r>
      <w:r w:rsidR="00D20706" w:rsidRPr="00B94E33">
        <w:rPr>
          <w:lang w:val="fr-FR"/>
        </w:rPr>
        <w:t xml:space="preserve"> la requérante avait quitté </w:t>
      </w:r>
      <w:r w:rsidR="00280F05" w:rsidRPr="00B94E33">
        <w:rPr>
          <w:lang w:val="fr-FR"/>
        </w:rPr>
        <w:t>le domicile familial</w:t>
      </w:r>
      <w:r w:rsidR="00D20706" w:rsidRPr="00B94E33">
        <w:rPr>
          <w:lang w:val="fr-FR"/>
        </w:rPr>
        <w:t xml:space="preserve"> et ne vivait plus avec A.T.</w:t>
      </w:r>
    </w:p>
    <w:p w:rsidR="00526110" w:rsidRPr="00B94E33" w:rsidRDefault="00F211E4" w:rsidP="00B94E33">
      <w:pPr>
        <w:pStyle w:val="ECHRPara"/>
        <w:rPr>
          <w:lang w:val="fr-FR"/>
        </w:rPr>
      </w:pPr>
      <w:r w:rsidRPr="00B94E33">
        <w:rPr>
          <w:lang w:val="fr-FR"/>
        </w:rPr>
        <w:lastRenderedPageBreak/>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70</w:t>
      </w:r>
      <w:r w:rsidRPr="00B94E33">
        <w:rPr>
          <w:lang w:val="fr-FR"/>
        </w:rPr>
        <w:fldChar w:fldCharType="end"/>
      </w:r>
      <w:r w:rsidRPr="00B94E33">
        <w:rPr>
          <w:lang w:val="fr-FR"/>
        </w:rPr>
        <w:t xml:space="preserve">.  La requérante </w:t>
      </w:r>
      <w:r w:rsidR="00280F05" w:rsidRPr="00B94E33">
        <w:rPr>
          <w:lang w:val="fr-FR"/>
        </w:rPr>
        <w:t>conteste les</w:t>
      </w:r>
      <w:r w:rsidR="00D20706" w:rsidRPr="00B94E33">
        <w:rPr>
          <w:lang w:val="fr-FR"/>
        </w:rPr>
        <w:t xml:space="preserve"> arguments du Gouvernement</w:t>
      </w:r>
      <w:r w:rsidRPr="00B94E33">
        <w:rPr>
          <w:lang w:val="fr-FR"/>
        </w:rPr>
        <w:t>. Tout d</w:t>
      </w:r>
      <w:r w:rsidR="00B94E33" w:rsidRPr="00B94E33">
        <w:rPr>
          <w:lang w:val="fr-FR"/>
        </w:rPr>
        <w:t>’</w:t>
      </w:r>
      <w:r w:rsidRPr="00B94E33">
        <w:rPr>
          <w:lang w:val="fr-FR"/>
        </w:rPr>
        <w:t>abord</w:t>
      </w:r>
      <w:r w:rsidR="00280F05" w:rsidRPr="00B94E33">
        <w:rPr>
          <w:lang w:val="fr-FR"/>
        </w:rPr>
        <w:t>,</w:t>
      </w:r>
      <w:r w:rsidRPr="00B94E33">
        <w:rPr>
          <w:lang w:val="fr-FR"/>
        </w:rPr>
        <w:t xml:space="preserve"> elle soutient avoir épuisé les voies de recours internes</w:t>
      </w:r>
      <w:r w:rsidR="008F6200" w:rsidRPr="00B94E33">
        <w:rPr>
          <w:lang w:val="fr-FR"/>
        </w:rPr>
        <w:t xml:space="preserve">, estimant </w:t>
      </w:r>
      <w:r w:rsidRPr="00B94E33">
        <w:rPr>
          <w:lang w:val="fr-FR"/>
        </w:rPr>
        <w:t>que la plainte pénale qu</w:t>
      </w:r>
      <w:r w:rsidR="00B94E33" w:rsidRPr="00B94E33">
        <w:rPr>
          <w:lang w:val="fr-FR"/>
        </w:rPr>
        <w:t>’</w:t>
      </w:r>
      <w:r w:rsidRPr="00B94E33">
        <w:rPr>
          <w:lang w:val="fr-FR"/>
        </w:rPr>
        <w:t>elle a déposé</w:t>
      </w:r>
      <w:r w:rsidR="00280F05" w:rsidRPr="00B94E33">
        <w:rPr>
          <w:lang w:val="fr-FR"/>
        </w:rPr>
        <w:t>e</w:t>
      </w:r>
      <w:r w:rsidRPr="00B94E33">
        <w:rPr>
          <w:lang w:val="fr-FR"/>
        </w:rPr>
        <w:t xml:space="preserve"> le 5 </w:t>
      </w:r>
      <w:r w:rsidR="00526110" w:rsidRPr="00B94E33">
        <w:rPr>
          <w:lang w:val="fr-FR"/>
        </w:rPr>
        <w:t>septembre</w:t>
      </w:r>
      <w:r w:rsidRPr="00B94E33">
        <w:rPr>
          <w:lang w:val="fr-FR"/>
        </w:rPr>
        <w:t xml:space="preserve"> 2012 n</w:t>
      </w:r>
      <w:r w:rsidR="00B94E33" w:rsidRPr="00B94E33">
        <w:rPr>
          <w:lang w:val="fr-FR"/>
        </w:rPr>
        <w:t>’</w:t>
      </w:r>
      <w:r w:rsidRPr="00B94E33">
        <w:rPr>
          <w:lang w:val="fr-FR"/>
        </w:rPr>
        <w:t>était pas</w:t>
      </w:r>
      <w:r w:rsidR="00280F05" w:rsidRPr="00B94E33">
        <w:rPr>
          <w:lang w:val="fr-FR"/>
        </w:rPr>
        <w:t xml:space="preserve"> </w:t>
      </w:r>
      <w:r w:rsidRPr="00B94E33">
        <w:rPr>
          <w:lang w:val="fr-FR"/>
        </w:rPr>
        <w:t xml:space="preserve">un </w:t>
      </w:r>
      <w:r w:rsidR="00526110" w:rsidRPr="00B94E33">
        <w:rPr>
          <w:lang w:val="fr-FR"/>
        </w:rPr>
        <w:t>remède</w:t>
      </w:r>
      <w:r w:rsidRPr="00B94E33">
        <w:rPr>
          <w:lang w:val="fr-FR"/>
        </w:rPr>
        <w:t xml:space="preserve"> effectif.</w:t>
      </w:r>
      <w:r w:rsidR="00857BDD" w:rsidRPr="00B94E33">
        <w:rPr>
          <w:lang w:val="fr-FR"/>
        </w:rPr>
        <w:t xml:space="preserve"> </w:t>
      </w:r>
      <w:r w:rsidR="00672AD7" w:rsidRPr="00B94E33">
        <w:rPr>
          <w:lang w:val="fr-FR"/>
        </w:rPr>
        <w:t>À</w:t>
      </w:r>
      <w:r w:rsidR="00857BDD" w:rsidRPr="00B94E33">
        <w:rPr>
          <w:lang w:val="fr-FR"/>
        </w:rPr>
        <w:t xml:space="preserve"> cet </w:t>
      </w:r>
      <w:r w:rsidR="001F1FCE" w:rsidRPr="00B94E33">
        <w:rPr>
          <w:lang w:val="fr-FR"/>
        </w:rPr>
        <w:t>égard</w:t>
      </w:r>
      <w:r w:rsidR="00857BDD" w:rsidRPr="00B94E33">
        <w:rPr>
          <w:lang w:val="fr-FR"/>
        </w:rPr>
        <w:t xml:space="preserve">, </w:t>
      </w:r>
      <w:r w:rsidR="00526110" w:rsidRPr="00B94E33">
        <w:rPr>
          <w:lang w:val="fr-FR"/>
        </w:rPr>
        <w:t xml:space="preserve">elle </w:t>
      </w:r>
      <w:r w:rsidR="00672AD7" w:rsidRPr="00B94E33">
        <w:rPr>
          <w:lang w:val="fr-FR"/>
        </w:rPr>
        <w:t xml:space="preserve">déclare </w:t>
      </w:r>
      <w:r w:rsidR="00526110" w:rsidRPr="00B94E33">
        <w:rPr>
          <w:lang w:val="fr-FR"/>
        </w:rPr>
        <w:t>que</w:t>
      </w:r>
      <w:r w:rsidR="00672AD7" w:rsidRPr="00B94E33">
        <w:rPr>
          <w:lang w:val="fr-FR"/>
        </w:rPr>
        <w:t>,</w:t>
      </w:r>
      <w:r w:rsidR="00526110" w:rsidRPr="00B94E33">
        <w:rPr>
          <w:lang w:val="fr-FR"/>
        </w:rPr>
        <w:t xml:space="preserve"> nonobstant la demande de mesures de protection et l</w:t>
      </w:r>
      <w:r w:rsidR="00B94E33" w:rsidRPr="00B94E33">
        <w:rPr>
          <w:lang w:val="fr-FR"/>
        </w:rPr>
        <w:t>’</w:t>
      </w:r>
      <w:r w:rsidR="00526110" w:rsidRPr="00B94E33">
        <w:rPr>
          <w:lang w:val="fr-FR"/>
        </w:rPr>
        <w:t>urgence signalé</w:t>
      </w:r>
      <w:r w:rsidR="00672AD7" w:rsidRPr="00B94E33">
        <w:rPr>
          <w:lang w:val="fr-FR"/>
        </w:rPr>
        <w:t>e</w:t>
      </w:r>
      <w:r w:rsidR="00526110" w:rsidRPr="00B94E33">
        <w:rPr>
          <w:lang w:val="fr-FR"/>
        </w:rPr>
        <w:t xml:space="preserve"> par le procureur à l</w:t>
      </w:r>
      <w:r w:rsidR="009D405D" w:rsidRPr="00B94E33">
        <w:rPr>
          <w:lang w:val="fr-FR"/>
        </w:rPr>
        <w:t>a police</w:t>
      </w:r>
      <w:r w:rsidR="008F6200" w:rsidRPr="00B94E33">
        <w:rPr>
          <w:lang w:val="fr-FR"/>
        </w:rPr>
        <w:t>,</w:t>
      </w:r>
      <w:r w:rsidR="009D405D" w:rsidRPr="00B94E33">
        <w:rPr>
          <w:lang w:val="fr-FR"/>
        </w:rPr>
        <w:t xml:space="preserve"> chargée de l</w:t>
      </w:r>
      <w:r w:rsidR="00B94E33" w:rsidRPr="00B94E33">
        <w:rPr>
          <w:lang w:val="fr-FR"/>
        </w:rPr>
        <w:t>’</w:t>
      </w:r>
      <w:r w:rsidR="009D405D" w:rsidRPr="00B94E33">
        <w:rPr>
          <w:lang w:val="fr-FR"/>
        </w:rPr>
        <w:t xml:space="preserve">enquête (paragraphe </w:t>
      </w:r>
      <w:r w:rsidR="009D405D" w:rsidRPr="00B94E33">
        <w:rPr>
          <w:lang w:val="fr-FR"/>
        </w:rPr>
        <w:fldChar w:fldCharType="begin"/>
      </w:r>
      <w:r w:rsidR="009D405D" w:rsidRPr="00B94E33">
        <w:rPr>
          <w:lang w:val="fr-FR"/>
        </w:rPr>
        <w:instrText xml:space="preserve"> REF para24 \h </w:instrText>
      </w:r>
      <w:r w:rsidR="00A84E66" w:rsidRPr="00B94E33">
        <w:rPr>
          <w:lang w:val="fr-FR"/>
        </w:rPr>
        <w:instrText xml:space="preserve"> \* MERGEFORMAT </w:instrText>
      </w:r>
      <w:r w:rsidR="009D405D" w:rsidRPr="00B94E33">
        <w:rPr>
          <w:lang w:val="fr-FR"/>
        </w:rPr>
      </w:r>
      <w:r w:rsidR="009D405D" w:rsidRPr="00B94E33">
        <w:rPr>
          <w:lang w:val="fr-FR"/>
        </w:rPr>
        <w:fldChar w:fldCharType="separate"/>
      </w:r>
      <w:r w:rsidR="00B94E33" w:rsidRPr="00B94E33">
        <w:rPr>
          <w:noProof/>
          <w:lang w:val="fr-FR"/>
        </w:rPr>
        <w:t>21</w:t>
      </w:r>
      <w:r w:rsidR="009D405D" w:rsidRPr="00B94E33">
        <w:rPr>
          <w:lang w:val="fr-FR"/>
        </w:rPr>
        <w:fldChar w:fldCharType="end"/>
      </w:r>
      <w:r w:rsidR="009D405D" w:rsidRPr="00B94E33">
        <w:rPr>
          <w:lang w:val="fr-FR"/>
        </w:rPr>
        <w:t xml:space="preserve"> ci-dessus</w:t>
      </w:r>
      <w:r w:rsidR="00526110" w:rsidRPr="00B94E33">
        <w:rPr>
          <w:lang w:val="fr-FR"/>
        </w:rPr>
        <w:t>), elle</w:t>
      </w:r>
      <w:r w:rsidR="00D20706" w:rsidRPr="00B94E33">
        <w:rPr>
          <w:lang w:val="fr-FR"/>
        </w:rPr>
        <w:t xml:space="preserve"> </w:t>
      </w:r>
      <w:r w:rsidR="00672AD7" w:rsidRPr="00B94E33">
        <w:rPr>
          <w:lang w:val="fr-FR"/>
        </w:rPr>
        <w:t>n</w:t>
      </w:r>
      <w:r w:rsidR="00B94E33" w:rsidRPr="00B94E33">
        <w:rPr>
          <w:lang w:val="fr-FR"/>
        </w:rPr>
        <w:t>’</w:t>
      </w:r>
      <w:r w:rsidR="00D20706" w:rsidRPr="00B94E33">
        <w:rPr>
          <w:lang w:val="fr-FR"/>
        </w:rPr>
        <w:t xml:space="preserve">a été entendue </w:t>
      </w:r>
      <w:r w:rsidR="00672AD7" w:rsidRPr="00B94E33">
        <w:rPr>
          <w:lang w:val="fr-FR"/>
        </w:rPr>
        <w:t xml:space="preserve">que </w:t>
      </w:r>
      <w:r w:rsidR="00D20706" w:rsidRPr="00B94E33">
        <w:rPr>
          <w:lang w:val="fr-FR"/>
        </w:rPr>
        <w:t xml:space="preserve">sept mois </w:t>
      </w:r>
      <w:r w:rsidR="00672AD7" w:rsidRPr="00B94E33">
        <w:rPr>
          <w:lang w:val="fr-FR"/>
        </w:rPr>
        <w:t>plus tard</w:t>
      </w:r>
      <w:r w:rsidR="00526110" w:rsidRPr="00B94E33">
        <w:rPr>
          <w:lang w:val="fr-FR"/>
        </w:rPr>
        <w:t xml:space="preserve">. </w:t>
      </w:r>
      <w:r w:rsidR="00672AD7" w:rsidRPr="00B94E33">
        <w:rPr>
          <w:lang w:val="fr-FR"/>
        </w:rPr>
        <w:t xml:space="preserve">Elle expose que </w:t>
      </w:r>
      <w:r w:rsidR="00526110" w:rsidRPr="00B94E33">
        <w:rPr>
          <w:lang w:val="fr-FR"/>
        </w:rPr>
        <w:t>la première audience a eu lieu seulement en 2014</w:t>
      </w:r>
      <w:r w:rsidR="00672AD7" w:rsidRPr="00B94E33">
        <w:rPr>
          <w:lang w:val="fr-FR"/>
        </w:rPr>
        <w:t>,</w:t>
      </w:r>
      <w:r w:rsidR="00526110" w:rsidRPr="00B94E33">
        <w:rPr>
          <w:lang w:val="fr-FR"/>
        </w:rPr>
        <w:t xml:space="preserve"> après le meurtre de son fils</w:t>
      </w:r>
      <w:r w:rsidR="00672AD7" w:rsidRPr="00B94E33">
        <w:rPr>
          <w:lang w:val="fr-FR"/>
        </w:rPr>
        <w:t>. Elle ajoute que, de plus,</w:t>
      </w:r>
      <w:r w:rsidR="00526110" w:rsidRPr="00B94E33">
        <w:rPr>
          <w:lang w:val="fr-FR"/>
        </w:rPr>
        <w:t xml:space="preserve"> les autorités italiennes ont omis de la protéger et de la faire bénéficier </w:t>
      </w:r>
      <w:r w:rsidR="00672AD7" w:rsidRPr="00B94E33">
        <w:rPr>
          <w:lang w:val="fr-FR"/>
        </w:rPr>
        <w:t>d</w:t>
      </w:r>
      <w:r w:rsidR="00B94E33" w:rsidRPr="00B94E33">
        <w:rPr>
          <w:lang w:val="fr-FR"/>
        </w:rPr>
        <w:t>’</w:t>
      </w:r>
      <w:r w:rsidR="00672AD7" w:rsidRPr="00B94E33">
        <w:rPr>
          <w:lang w:val="fr-FR"/>
        </w:rPr>
        <w:t>une aide</w:t>
      </w:r>
      <w:r w:rsidR="00526110" w:rsidRPr="00B94E33">
        <w:rPr>
          <w:lang w:val="fr-FR"/>
        </w:rPr>
        <w:t xml:space="preserve"> après les violences</w:t>
      </w:r>
      <w:r w:rsidR="00672AD7" w:rsidRPr="00B94E33">
        <w:rPr>
          <w:lang w:val="fr-FR"/>
        </w:rPr>
        <w:t xml:space="preserve"> qu</w:t>
      </w:r>
      <w:r w:rsidR="00B94E33" w:rsidRPr="00B94E33">
        <w:rPr>
          <w:lang w:val="fr-FR"/>
        </w:rPr>
        <w:t>’</w:t>
      </w:r>
      <w:r w:rsidR="00672AD7" w:rsidRPr="00B94E33">
        <w:rPr>
          <w:lang w:val="fr-FR"/>
        </w:rPr>
        <w:t>elle aurait</w:t>
      </w:r>
      <w:r w:rsidR="00526110" w:rsidRPr="00B94E33">
        <w:rPr>
          <w:lang w:val="fr-FR"/>
        </w:rPr>
        <w:t xml:space="preserve"> subies.</w:t>
      </w:r>
    </w:p>
    <w:p w:rsidR="0040017B" w:rsidRPr="00B94E33" w:rsidRDefault="0040017B"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71</w:t>
      </w:r>
      <w:r w:rsidRPr="00B94E33">
        <w:rPr>
          <w:lang w:val="fr-FR"/>
        </w:rPr>
        <w:fldChar w:fldCharType="end"/>
      </w:r>
      <w:r w:rsidRPr="00B94E33">
        <w:rPr>
          <w:lang w:val="fr-FR"/>
        </w:rPr>
        <w:t xml:space="preserve">.  La requérante </w:t>
      </w:r>
      <w:r w:rsidR="00672AD7" w:rsidRPr="00B94E33">
        <w:rPr>
          <w:lang w:val="fr-FR"/>
        </w:rPr>
        <w:t xml:space="preserve">déclare </w:t>
      </w:r>
      <w:r w:rsidRPr="00B94E33">
        <w:rPr>
          <w:lang w:val="fr-FR"/>
        </w:rPr>
        <w:t xml:space="preserve">enfin que </w:t>
      </w:r>
      <w:r w:rsidR="00672AD7" w:rsidRPr="00B94E33">
        <w:rPr>
          <w:lang w:val="fr-FR"/>
        </w:rPr>
        <w:t>s</w:t>
      </w:r>
      <w:r w:rsidRPr="00B94E33">
        <w:rPr>
          <w:lang w:val="fr-FR"/>
        </w:rPr>
        <w:t xml:space="preserve">a plainte </w:t>
      </w:r>
      <w:r w:rsidR="00672AD7" w:rsidRPr="00B94E33">
        <w:rPr>
          <w:lang w:val="fr-FR"/>
        </w:rPr>
        <w:t>n</w:t>
      </w:r>
      <w:r w:rsidR="00B94E33" w:rsidRPr="00B94E33">
        <w:rPr>
          <w:lang w:val="fr-FR"/>
        </w:rPr>
        <w:t>’</w:t>
      </w:r>
      <w:r w:rsidRPr="00B94E33">
        <w:rPr>
          <w:lang w:val="fr-FR"/>
        </w:rPr>
        <w:t xml:space="preserve">a été </w:t>
      </w:r>
      <w:r w:rsidR="00672AD7" w:rsidRPr="00B94E33">
        <w:rPr>
          <w:lang w:val="fr-FR"/>
        </w:rPr>
        <w:t xml:space="preserve">que </w:t>
      </w:r>
      <w:r w:rsidRPr="00B94E33">
        <w:rPr>
          <w:lang w:val="fr-FR"/>
        </w:rPr>
        <w:t xml:space="preserve">partiellement classée, que la première audience </w:t>
      </w:r>
      <w:r w:rsidR="00BB679F" w:rsidRPr="00B94E33">
        <w:rPr>
          <w:lang w:val="fr-FR"/>
        </w:rPr>
        <w:t>dans le cadre de l</w:t>
      </w:r>
      <w:r w:rsidR="00B94E33" w:rsidRPr="00B94E33">
        <w:rPr>
          <w:lang w:val="fr-FR"/>
        </w:rPr>
        <w:t>’</w:t>
      </w:r>
      <w:r w:rsidR="00BB679F" w:rsidRPr="00B94E33">
        <w:rPr>
          <w:lang w:val="fr-FR"/>
        </w:rPr>
        <w:t>affaire concernant le</w:t>
      </w:r>
      <w:r w:rsidRPr="00B94E33">
        <w:rPr>
          <w:lang w:val="fr-FR"/>
        </w:rPr>
        <w:t xml:space="preserve"> délit de </w:t>
      </w:r>
      <w:r w:rsidR="00C5643E" w:rsidRPr="00B94E33">
        <w:rPr>
          <w:lang w:val="fr-FR"/>
        </w:rPr>
        <w:t>lésions corporelles</w:t>
      </w:r>
      <w:r w:rsidR="00BB679F" w:rsidRPr="00B94E33">
        <w:rPr>
          <w:lang w:val="fr-FR"/>
        </w:rPr>
        <w:t xml:space="preserve"> à la suite de </w:t>
      </w:r>
      <w:r w:rsidRPr="00B94E33">
        <w:rPr>
          <w:lang w:val="fr-FR"/>
        </w:rPr>
        <w:t>l</w:t>
      </w:r>
      <w:r w:rsidR="00B94E33" w:rsidRPr="00B94E33">
        <w:rPr>
          <w:lang w:val="fr-FR"/>
        </w:rPr>
        <w:t>’</w:t>
      </w:r>
      <w:r w:rsidRPr="00B94E33">
        <w:rPr>
          <w:lang w:val="fr-FR"/>
        </w:rPr>
        <w:t xml:space="preserve">agression </w:t>
      </w:r>
      <w:r w:rsidR="005D7DB0" w:rsidRPr="00B94E33">
        <w:rPr>
          <w:lang w:val="fr-FR"/>
        </w:rPr>
        <w:t>commise par A.T. au</w:t>
      </w:r>
      <w:r w:rsidR="00BB679F" w:rsidRPr="00B94E33">
        <w:rPr>
          <w:lang w:val="fr-FR"/>
        </w:rPr>
        <w:t xml:space="preserve"> mois d</w:t>
      </w:r>
      <w:r w:rsidR="00B94E33" w:rsidRPr="00B94E33">
        <w:rPr>
          <w:lang w:val="fr-FR"/>
        </w:rPr>
        <w:t>’</w:t>
      </w:r>
      <w:r w:rsidRPr="00B94E33">
        <w:rPr>
          <w:lang w:val="fr-FR"/>
        </w:rPr>
        <w:t>août 2012 a eu lieu en 2014 et que l</w:t>
      </w:r>
      <w:r w:rsidR="00B94E33" w:rsidRPr="00B94E33">
        <w:rPr>
          <w:lang w:val="fr-FR"/>
        </w:rPr>
        <w:t>’</w:t>
      </w:r>
      <w:r w:rsidRPr="00B94E33">
        <w:rPr>
          <w:lang w:val="fr-FR"/>
        </w:rPr>
        <w:t>enquête pour maltraitance a été rouverte après les fait</w:t>
      </w:r>
      <w:r w:rsidR="00BB679F" w:rsidRPr="00B94E33">
        <w:rPr>
          <w:lang w:val="fr-FR"/>
        </w:rPr>
        <w:t>s</w:t>
      </w:r>
      <w:r w:rsidRPr="00B94E33">
        <w:rPr>
          <w:lang w:val="fr-FR"/>
        </w:rPr>
        <w:t xml:space="preserve"> du 26 novembre 2013. Elle </w:t>
      </w:r>
      <w:r w:rsidR="00BB679F" w:rsidRPr="00B94E33">
        <w:rPr>
          <w:lang w:val="fr-FR"/>
        </w:rPr>
        <w:t xml:space="preserve">répète </w:t>
      </w:r>
      <w:r w:rsidRPr="00B94E33">
        <w:rPr>
          <w:lang w:val="fr-FR"/>
        </w:rPr>
        <w:t xml:space="preserve">que </w:t>
      </w:r>
      <w:r w:rsidR="00BB679F" w:rsidRPr="00B94E33">
        <w:rPr>
          <w:lang w:val="fr-FR"/>
        </w:rPr>
        <w:t>s</w:t>
      </w:r>
      <w:r w:rsidRPr="00B94E33">
        <w:rPr>
          <w:lang w:val="fr-FR"/>
        </w:rPr>
        <w:t>a plainte n</w:t>
      </w:r>
      <w:r w:rsidR="00B94E33" w:rsidRPr="00B94E33">
        <w:rPr>
          <w:lang w:val="fr-FR"/>
        </w:rPr>
        <w:t>’</w:t>
      </w:r>
      <w:r w:rsidRPr="00B94E33">
        <w:rPr>
          <w:lang w:val="fr-FR"/>
        </w:rPr>
        <w:t xml:space="preserve">a pas été un remède effectif et </w:t>
      </w:r>
      <w:r w:rsidR="00763745" w:rsidRPr="00B94E33">
        <w:rPr>
          <w:lang w:val="fr-FR"/>
        </w:rPr>
        <w:t>qu</w:t>
      </w:r>
      <w:r w:rsidR="00B94E33" w:rsidRPr="00B94E33">
        <w:rPr>
          <w:lang w:val="fr-FR"/>
        </w:rPr>
        <w:t>’</w:t>
      </w:r>
      <w:r w:rsidR="00763745" w:rsidRPr="00B94E33">
        <w:rPr>
          <w:lang w:val="fr-FR"/>
        </w:rPr>
        <w:t>elle a</w:t>
      </w:r>
      <w:r w:rsidRPr="00B94E33">
        <w:rPr>
          <w:lang w:val="fr-FR"/>
        </w:rPr>
        <w:t xml:space="preserve"> épuisé les voies de recours internes.</w:t>
      </w:r>
    </w:p>
    <w:p w:rsidR="00F211E4" w:rsidRPr="00B94E33" w:rsidRDefault="00D20706"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72</w:t>
      </w:r>
      <w:r w:rsidRPr="00B94E33">
        <w:rPr>
          <w:lang w:val="fr-FR"/>
        </w:rPr>
        <w:fldChar w:fldCharType="end"/>
      </w:r>
      <w:r w:rsidRPr="00B94E33">
        <w:rPr>
          <w:lang w:val="fr-FR"/>
        </w:rPr>
        <w:t>.  </w:t>
      </w:r>
      <w:r w:rsidR="00857BDD" w:rsidRPr="00B94E33">
        <w:rPr>
          <w:lang w:val="fr-FR"/>
        </w:rPr>
        <w:t xml:space="preserve">Quant au fait que la procédure pénale contre </w:t>
      </w:r>
      <w:r w:rsidR="001F1FCE" w:rsidRPr="00B94E33">
        <w:rPr>
          <w:lang w:val="fr-FR"/>
        </w:rPr>
        <w:t>A.T.</w:t>
      </w:r>
      <w:r w:rsidR="00857BDD" w:rsidRPr="00B94E33">
        <w:rPr>
          <w:lang w:val="fr-FR"/>
        </w:rPr>
        <w:t xml:space="preserve"> pour le meurtre</w:t>
      </w:r>
      <w:r w:rsidR="001F1FCE" w:rsidRPr="00B94E33">
        <w:rPr>
          <w:lang w:val="fr-FR"/>
        </w:rPr>
        <w:t xml:space="preserve"> </w:t>
      </w:r>
      <w:r w:rsidR="00857BDD" w:rsidRPr="00B94E33">
        <w:rPr>
          <w:lang w:val="fr-FR"/>
        </w:rPr>
        <w:t xml:space="preserve">de son fils et </w:t>
      </w:r>
      <w:r w:rsidR="00AD268D" w:rsidRPr="00B94E33">
        <w:rPr>
          <w:lang w:val="fr-FR"/>
        </w:rPr>
        <w:t>la</w:t>
      </w:r>
      <w:r w:rsidR="00857BDD" w:rsidRPr="00B94E33">
        <w:rPr>
          <w:lang w:val="fr-FR"/>
        </w:rPr>
        <w:t xml:space="preserve"> </w:t>
      </w:r>
      <w:r w:rsidR="001F1FCE" w:rsidRPr="00B94E33">
        <w:rPr>
          <w:lang w:val="fr-FR"/>
        </w:rPr>
        <w:t>tentative</w:t>
      </w:r>
      <w:r w:rsidR="00857BDD" w:rsidRPr="00B94E33">
        <w:rPr>
          <w:lang w:val="fr-FR"/>
        </w:rPr>
        <w:t xml:space="preserve"> de meurtre </w:t>
      </w:r>
      <w:r w:rsidR="001F1FCE" w:rsidRPr="00B94E33">
        <w:rPr>
          <w:lang w:val="fr-FR"/>
        </w:rPr>
        <w:t xml:space="preserve">sur sa personne </w:t>
      </w:r>
      <w:r w:rsidR="008F6200" w:rsidRPr="00B94E33">
        <w:rPr>
          <w:lang w:val="fr-FR"/>
        </w:rPr>
        <w:t>est</w:t>
      </w:r>
      <w:r w:rsidR="00857BDD" w:rsidRPr="00B94E33">
        <w:rPr>
          <w:lang w:val="fr-FR"/>
        </w:rPr>
        <w:t xml:space="preserve"> encore pendante, la requérante </w:t>
      </w:r>
      <w:r w:rsidR="005D7DB0" w:rsidRPr="00B94E33">
        <w:rPr>
          <w:lang w:val="fr-FR"/>
        </w:rPr>
        <w:t xml:space="preserve">indique </w:t>
      </w:r>
      <w:r w:rsidR="00857BDD" w:rsidRPr="00B94E33">
        <w:rPr>
          <w:lang w:val="fr-FR"/>
        </w:rPr>
        <w:t xml:space="preserve">que </w:t>
      </w:r>
      <w:r w:rsidR="005D7DB0" w:rsidRPr="00B94E33">
        <w:rPr>
          <w:lang w:val="fr-FR"/>
        </w:rPr>
        <w:t>s</w:t>
      </w:r>
      <w:r w:rsidR="00857BDD" w:rsidRPr="00B94E33">
        <w:rPr>
          <w:lang w:val="fr-FR"/>
        </w:rPr>
        <w:t xml:space="preserve">a </w:t>
      </w:r>
      <w:r w:rsidR="001F1FCE" w:rsidRPr="00B94E33">
        <w:rPr>
          <w:lang w:val="fr-FR"/>
        </w:rPr>
        <w:t>requête</w:t>
      </w:r>
      <w:r w:rsidR="00857BDD" w:rsidRPr="00B94E33">
        <w:rPr>
          <w:lang w:val="fr-FR"/>
        </w:rPr>
        <w:t xml:space="preserve"> </w:t>
      </w:r>
      <w:r w:rsidR="008F6200" w:rsidRPr="00B94E33">
        <w:rPr>
          <w:lang w:val="fr-FR"/>
        </w:rPr>
        <w:t xml:space="preserve">a pour objet </w:t>
      </w:r>
      <w:r w:rsidR="005D7DB0" w:rsidRPr="00B94E33">
        <w:rPr>
          <w:lang w:val="fr-FR"/>
        </w:rPr>
        <w:t>l</w:t>
      </w:r>
      <w:r w:rsidR="00B94E33" w:rsidRPr="00B94E33">
        <w:rPr>
          <w:lang w:val="fr-FR"/>
        </w:rPr>
        <w:t>’</w:t>
      </w:r>
      <w:r w:rsidR="007D5CEE" w:rsidRPr="00B94E33">
        <w:rPr>
          <w:lang w:val="fr-FR"/>
        </w:rPr>
        <w:t xml:space="preserve">inaction </w:t>
      </w:r>
      <w:r w:rsidR="00783776" w:rsidRPr="00B94E33">
        <w:rPr>
          <w:lang w:val="fr-FR"/>
        </w:rPr>
        <w:t>d</w:t>
      </w:r>
      <w:r w:rsidR="00857BDD" w:rsidRPr="00B94E33">
        <w:rPr>
          <w:lang w:val="fr-FR"/>
        </w:rPr>
        <w:t xml:space="preserve">es autorités du </w:t>
      </w:r>
      <w:r w:rsidR="00E70AAC" w:rsidRPr="00B94E33">
        <w:rPr>
          <w:lang w:val="fr-FR"/>
        </w:rPr>
        <w:t>2</w:t>
      </w:r>
      <w:r w:rsidR="006B1D94" w:rsidRPr="00B94E33">
        <w:rPr>
          <w:lang w:val="fr-FR"/>
        </w:rPr>
        <w:t> </w:t>
      </w:r>
      <w:r w:rsidR="00857BDD" w:rsidRPr="00B94E33">
        <w:rPr>
          <w:lang w:val="fr-FR"/>
        </w:rPr>
        <w:t xml:space="preserve">juin </w:t>
      </w:r>
      <w:r w:rsidRPr="00B94E33">
        <w:rPr>
          <w:lang w:val="fr-FR"/>
        </w:rPr>
        <w:t xml:space="preserve">2012 </w:t>
      </w:r>
      <w:r w:rsidR="00857BDD" w:rsidRPr="00B94E33">
        <w:rPr>
          <w:lang w:val="fr-FR"/>
        </w:rPr>
        <w:t>jusqu</w:t>
      </w:r>
      <w:r w:rsidR="00B94E33" w:rsidRPr="00B94E33">
        <w:rPr>
          <w:lang w:val="fr-FR"/>
        </w:rPr>
        <w:t>’</w:t>
      </w:r>
      <w:r w:rsidR="00857BDD" w:rsidRPr="00B94E33">
        <w:rPr>
          <w:lang w:val="fr-FR"/>
        </w:rPr>
        <w:t xml:space="preserve">à la date du meurtre </w:t>
      </w:r>
      <w:r w:rsidR="005D7DB0" w:rsidRPr="00B94E33">
        <w:rPr>
          <w:lang w:val="fr-FR"/>
        </w:rPr>
        <w:t xml:space="preserve">de son fils </w:t>
      </w:r>
      <w:r w:rsidR="00857BDD" w:rsidRPr="00B94E33">
        <w:rPr>
          <w:lang w:val="fr-FR"/>
        </w:rPr>
        <w:t xml:space="preserve">et </w:t>
      </w:r>
      <w:r w:rsidR="008F6200" w:rsidRPr="00B94E33">
        <w:rPr>
          <w:lang w:val="fr-FR"/>
        </w:rPr>
        <w:t>qu</w:t>
      </w:r>
      <w:r w:rsidR="00B94E33" w:rsidRPr="00B94E33">
        <w:rPr>
          <w:lang w:val="fr-FR"/>
        </w:rPr>
        <w:t>’</w:t>
      </w:r>
      <w:r w:rsidR="008F6200" w:rsidRPr="00B94E33">
        <w:rPr>
          <w:lang w:val="fr-FR"/>
        </w:rPr>
        <w:t xml:space="preserve">elle </w:t>
      </w:r>
      <w:r w:rsidRPr="00B94E33">
        <w:rPr>
          <w:lang w:val="fr-FR"/>
        </w:rPr>
        <w:t xml:space="preserve">ne concerne pas </w:t>
      </w:r>
      <w:r w:rsidR="00857BDD" w:rsidRPr="00B94E33">
        <w:rPr>
          <w:lang w:val="fr-FR"/>
        </w:rPr>
        <w:t xml:space="preserve">la procédure </w:t>
      </w:r>
      <w:r w:rsidR="005D7DB0" w:rsidRPr="00B94E33">
        <w:rPr>
          <w:lang w:val="fr-FR"/>
        </w:rPr>
        <w:t xml:space="preserve">relative à </w:t>
      </w:r>
      <w:r w:rsidR="00857BDD" w:rsidRPr="00B94E33">
        <w:rPr>
          <w:lang w:val="fr-FR"/>
        </w:rPr>
        <w:t xml:space="preserve">la responsabilité </w:t>
      </w:r>
      <w:r w:rsidRPr="00B94E33">
        <w:rPr>
          <w:lang w:val="fr-FR"/>
        </w:rPr>
        <w:t>pénale</w:t>
      </w:r>
      <w:r w:rsidR="00857BDD" w:rsidRPr="00B94E33">
        <w:rPr>
          <w:lang w:val="fr-FR"/>
        </w:rPr>
        <w:t xml:space="preserve"> de </w:t>
      </w:r>
      <w:r w:rsidRPr="00B94E33">
        <w:rPr>
          <w:lang w:val="fr-FR"/>
        </w:rPr>
        <w:t>A.T.</w:t>
      </w:r>
    </w:p>
    <w:p w:rsidR="00857BDD" w:rsidRPr="00B94E33" w:rsidRDefault="00B85772"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73</w:t>
      </w:r>
      <w:r w:rsidRPr="00B94E33">
        <w:rPr>
          <w:lang w:val="fr-FR"/>
        </w:rPr>
        <w:fldChar w:fldCharType="end"/>
      </w:r>
      <w:r w:rsidRPr="00B94E33">
        <w:rPr>
          <w:lang w:val="fr-FR"/>
        </w:rPr>
        <w:t>.  </w:t>
      </w:r>
      <w:r w:rsidR="005D7DB0" w:rsidRPr="00B94E33">
        <w:rPr>
          <w:lang w:val="fr-FR"/>
        </w:rPr>
        <w:t>Eu égard à son absence d</w:t>
      </w:r>
      <w:r w:rsidR="00B94E33" w:rsidRPr="00B94E33">
        <w:rPr>
          <w:lang w:val="fr-FR"/>
        </w:rPr>
        <w:t>’</w:t>
      </w:r>
      <w:r w:rsidR="00D20706" w:rsidRPr="00B94E33">
        <w:rPr>
          <w:lang w:val="fr-FR"/>
        </w:rPr>
        <w:t>opposition contre</w:t>
      </w:r>
      <w:r w:rsidR="00783776" w:rsidRPr="00B94E33">
        <w:rPr>
          <w:lang w:val="fr-FR"/>
        </w:rPr>
        <w:t xml:space="preserve"> la </w:t>
      </w:r>
      <w:r w:rsidR="00D20706" w:rsidRPr="00B94E33">
        <w:rPr>
          <w:lang w:val="fr-FR"/>
        </w:rPr>
        <w:t>proposition</w:t>
      </w:r>
      <w:r w:rsidR="00783776" w:rsidRPr="00B94E33">
        <w:rPr>
          <w:lang w:val="fr-FR"/>
        </w:rPr>
        <w:t xml:space="preserve"> </w:t>
      </w:r>
      <w:r w:rsidR="00E70AAC" w:rsidRPr="00B94E33">
        <w:rPr>
          <w:lang w:val="fr-FR"/>
        </w:rPr>
        <w:t xml:space="preserve">du parquet </w:t>
      </w:r>
      <w:r w:rsidR="00783776" w:rsidRPr="00B94E33">
        <w:rPr>
          <w:lang w:val="fr-FR"/>
        </w:rPr>
        <w:t xml:space="preserve">de </w:t>
      </w:r>
      <w:r w:rsidR="00D20706" w:rsidRPr="00B94E33">
        <w:rPr>
          <w:lang w:val="fr-FR"/>
        </w:rPr>
        <w:t>classer</w:t>
      </w:r>
      <w:r w:rsidR="00783776" w:rsidRPr="00B94E33">
        <w:rPr>
          <w:lang w:val="fr-FR"/>
        </w:rPr>
        <w:t xml:space="preserve"> </w:t>
      </w:r>
      <w:r w:rsidR="00CF7700" w:rsidRPr="00B94E33">
        <w:rPr>
          <w:lang w:val="fr-FR"/>
        </w:rPr>
        <w:t xml:space="preserve">partiellement </w:t>
      </w:r>
      <w:r w:rsidR="00783776" w:rsidRPr="00B94E33">
        <w:rPr>
          <w:lang w:val="fr-FR"/>
        </w:rPr>
        <w:t xml:space="preserve">la plainte, </w:t>
      </w:r>
      <w:r w:rsidR="005D7DB0" w:rsidRPr="00B94E33">
        <w:rPr>
          <w:lang w:val="fr-FR"/>
        </w:rPr>
        <w:t xml:space="preserve">la requérante assure ne pas avoir </w:t>
      </w:r>
      <w:r w:rsidR="00783776" w:rsidRPr="00B94E33">
        <w:rPr>
          <w:lang w:val="fr-FR"/>
        </w:rPr>
        <w:t xml:space="preserve">été </w:t>
      </w:r>
      <w:r w:rsidR="00D20706" w:rsidRPr="00B94E33">
        <w:rPr>
          <w:lang w:val="fr-FR"/>
        </w:rPr>
        <w:t>informée</w:t>
      </w:r>
      <w:r w:rsidR="00783776" w:rsidRPr="00B94E33">
        <w:rPr>
          <w:lang w:val="fr-FR"/>
        </w:rPr>
        <w:t xml:space="preserve"> de </w:t>
      </w:r>
      <w:r w:rsidR="005D7DB0" w:rsidRPr="00B94E33">
        <w:rPr>
          <w:lang w:val="fr-FR"/>
        </w:rPr>
        <w:t>la décision de classement</w:t>
      </w:r>
      <w:r w:rsidR="00783776" w:rsidRPr="00B94E33">
        <w:rPr>
          <w:lang w:val="fr-FR"/>
        </w:rPr>
        <w:t>.</w:t>
      </w:r>
    </w:p>
    <w:p w:rsidR="002B1F7F" w:rsidRPr="00B94E33" w:rsidRDefault="00CF7700"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74</w:t>
      </w:r>
      <w:r w:rsidRPr="00B94E33">
        <w:rPr>
          <w:lang w:val="fr-FR"/>
        </w:rPr>
        <w:fldChar w:fldCharType="end"/>
      </w:r>
      <w:r w:rsidRPr="00B94E33">
        <w:rPr>
          <w:lang w:val="fr-FR"/>
        </w:rPr>
        <w:t>.  </w:t>
      </w:r>
      <w:r w:rsidR="002B1F7F" w:rsidRPr="00B94E33">
        <w:rPr>
          <w:rFonts w:eastAsia="Times New Roman"/>
          <w:lang w:val="fr-FR"/>
        </w:rPr>
        <w:t xml:space="preserve">La Cour relève que la question centrale qui se pose </w:t>
      </w:r>
      <w:r w:rsidR="008F6200" w:rsidRPr="00B94E33">
        <w:rPr>
          <w:rFonts w:eastAsia="Times New Roman"/>
          <w:lang w:val="fr-FR"/>
        </w:rPr>
        <w:t>en l</w:t>
      </w:r>
      <w:r w:rsidR="00B94E33" w:rsidRPr="00B94E33">
        <w:rPr>
          <w:rFonts w:eastAsia="Times New Roman"/>
          <w:lang w:val="fr-FR"/>
        </w:rPr>
        <w:t>’</w:t>
      </w:r>
      <w:r w:rsidR="008F6200" w:rsidRPr="00B94E33">
        <w:rPr>
          <w:rFonts w:eastAsia="Times New Roman"/>
          <w:lang w:val="fr-FR"/>
        </w:rPr>
        <w:t xml:space="preserve">espèce </w:t>
      </w:r>
      <w:r w:rsidR="002B1F7F" w:rsidRPr="00B94E33">
        <w:rPr>
          <w:rFonts w:eastAsia="Times New Roman"/>
          <w:lang w:val="fr-FR"/>
        </w:rPr>
        <w:t>au sujet de l</w:t>
      </w:r>
      <w:r w:rsidR="00B94E33" w:rsidRPr="00B94E33">
        <w:rPr>
          <w:rFonts w:eastAsia="Times New Roman"/>
          <w:lang w:val="fr-FR"/>
        </w:rPr>
        <w:t>’</w:t>
      </w:r>
      <w:r w:rsidR="002B1F7F" w:rsidRPr="00B94E33">
        <w:rPr>
          <w:rFonts w:eastAsia="Times New Roman"/>
          <w:lang w:val="fr-FR"/>
        </w:rPr>
        <w:t xml:space="preserve">épuisement des </w:t>
      </w:r>
      <w:r w:rsidR="00A22AB1" w:rsidRPr="00B94E33">
        <w:rPr>
          <w:rFonts w:eastAsia="Times New Roman"/>
          <w:lang w:val="fr-FR"/>
        </w:rPr>
        <w:t xml:space="preserve">voies de </w:t>
      </w:r>
      <w:r w:rsidR="002B1F7F" w:rsidRPr="00B94E33">
        <w:rPr>
          <w:rFonts w:eastAsia="Times New Roman"/>
          <w:lang w:val="fr-FR"/>
        </w:rPr>
        <w:t>recours internes est celle de savoir si la requérante a fait usage des voies de droit disponibles dans l</w:t>
      </w:r>
      <w:r w:rsidR="00B94E33" w:rsidRPr="00B94E33">
        <w:rPr>
          <w:rFonts w:eastAsia="Times New Roman"/>
          <w:lang w:val="fr-FR"/>
        </w:rPr>
        <w:t>’</w:t>
      </w:r>
      <w:r w:rsidR="002B1F7F" w:rsidRPr="00B94E33">
        <w:rPr>
          <w:rFonts w:eastAsia="Times New Roman"/>
          <w:lang w:val="fr-FR"/>
        </w:rPr>
        <w:t xml:space="preserve">ordre juridique interne. </w:t>
      </w:r>
      <w:r w:rsidR="008F6200" w:rsidRPr="00B94E33">
        <w:rPr>
          <w:lang w:val="fr-FR"/>
        </w:rPr>
        <w:t>Elle note</w:t>
      </w:r>
      <w:r w:rsidR="002B1F7F" w:rsidRPr="00B94E33">
        <w:rPr>
          <w:lang w:val="fr-FR"/>
        </w:rPr>
        <w:t xml:space="preserve"> en outre que l</w:t>
      </w:r>
      <w:r w:rsidR="00B94E33" w:rsidRPr="00B94E33">
        <w:rPr>
          <w:lang w:val="fr-FR"/>
        </w:rPr>
        <w:t>’</w:t>
      </w:r>
      <w:r w:rsidR="002B1F7F" w:rsidRPr="00B94E33">
        <w:rPr>
          <w:lang w:val="fr-FR"/>
        </w:rPr>
        <w:t>objet principal de la requête est avant tout de savoir si les autorités ont fait preuve de la diligence requise pour prévenir les actes de violence dirigés contre la requérante et son fils, notamment en prenant à l</w:t>
      </w:r>
      <w:r w:rsidR="00B94E33" w:rsidRPr="00B94E33">
        <w:rPr>
          <w:lang w:val="fr-FR"/>
        </w:rPr>
        <w:t>’</w:t>
      </w:r>
      <w:r w:rsidR="002B1F7F" w:rsidRPr="00B94E33">
        <w:rPr>
          <w:lang w:val="fr-FR"/>
        </w:rPr>
        <w:t xml:space="preserve">égard de A.T. des mesures appropriées à caractère répressif ou préventif. Ces deux questions étant </w:t>
      </w:r>
      <w:r w:rsidR="002B1F7F" w:rsidRPr="00B94E33">
        <w:rPr>
          <w:rFonts w:eastAsia="Times New Roman"/>
          <w:lang w:val="fr-FR"/>
        </w:rPr>
        <w:t>indissolublement liées, la Cour décide de les joindre au fond et de les examiner sous l</w:t>
      </w:r>
      <w:r w:rsidR="00B94E33" w:rsidRPr="00B94E33">
        <w:rPr>
          <w:rFonts w:eastAsia="Times New Roman"/>
          <w:lang w:val="fr-FR"/>
        </w:rPr>
        <w:t>’</w:t>
      </w:r>
      <w:r w:rsidR="002B1F7F" w:rsidRPr="00B94E33">
        <w:rPr>
          <w:rFonts w:eastAsia="Times New Roman"/>
          <w:lang w:val="fr-FR"/>
        </w:rPr>
        <w:t xml:space="preserve">angle des articles 2 </w:t>
      </w:r>
      <w:r w:rsidR="007D4866" w:rsidRPr="00B94E33">
        <w:rPr>
          <w:rFonts w:eastAsia="Times New Roman"/>
          <w:lang w:val="fr-FR"/>
        </w:rPr>
        <w:t>et 3</w:t>
      </w:r>
      <w:r w:rsidR="002B1F7F" w:rsidRPr="00B94E33">
        <w:rPr>
          <w:rFonts w:eastAsia="Times New Roman"/>
          <w:lang w:val="fr-FR"/>
        </w:rPr>
        <w:t xml:space="preserve"> de la Convention</w:t>
      </w:r>
      <w:r w:rsidR="00FD0BE8" w:rsidRPr="00B94E33">
        <w:rPr>
          <w:rFonts w:eastAsia="Times New Roman"/>
          <w:lang w:val="fr-FR"/>
        </w:rPr>
        <w:t xml:space="preserve"> (</w:t>
      </w:r>
      <w:r w:rsidR="00FD0BE8" w:rsidRPr="00B94E33">
        <w:rPr>
          <w:rFonts w:eastAsia="Times New Roman"/>
          <w:i/>
          <w:lang w:val="fr-FR"/>
        </w:rPr>
        <w:t>Opuz</w:t>
      </w:r>
      <w:r w:rsidR="00FD0BE8" w:rsidRPr="00B94E33">
        <w:rPr>
          <w:rFonts w:eastAsia="Times New Roman"/>
          <w:lang w:val="fr-FR"/>
        </w:rPr>
        <w:t>, précité, §116</w:t>
      </w:r>
      <w:r w:rsidR="002B1F7F" w:rsidRPr="00B94E33">
        <w:rPr>
          <w:rFonts w:eastAsia="Times New Roman"/>
          <w:lang w:val="fr-FR"/>
        </w:rPr>
        <w:t>)</w:t>
      </w:r>
      <w:r w:rsidR="00FD0BE8" w:rsidRPr="00B94E33">
        <w:rPr>
          <w:rFonts w:eastAsia="Times New Roman"/>
          <w:lang w:val="fr-FR"/>
        </w:rPr>
        <w:t>.</w:t>
      </w:r>
    </w:p>
    <w:p w:rsidR="00EF4E78" w:rsidRPr="00B94E33" w:rsidRDefault="0040017B" w:rsidP="00B94E33">
      <w:pPr>
        <w:pStyle w:val="ECHRPara"/>
        <w:rPr>
          <w:rFonts w:ascii="Times New Roman" w:eastAsia="Times New Roman" w:hAnsi="Times New Roman" w:cs="Times New Roman"/>
          <w:szCs w:val="24"/>
          <w:lang w:val="fr-FR"/>
        </w:rPr>
      </w:pPr>
      <w:r w:rsidRPr="00B94E33">
        <w:rPr>
          <w:rFonts w:ascii="Times New Roman" w:eastAsia="Times New Roman" w:hAnsi="Times New Roman" w:cs="Times New Roman"/>
          <w:szCs w:val="24"/>
          <w:lang w:val="fr-FR"/>
        </w:rPr>
        <w:fldChar w:fldCharType="begin"/>
      </w:r>
      <w:r w:rsidRPr="00B94E33">
        <w:rPr>
          <w:rFonts w:ascii="Times New Roman" w:eastAsia="Times New Roman" w:hAnsi="Times New Roman" w:cs="Times New Roman"/>
          <w:szCs w:val="24"/>
          <w:lang w:val="fr-FR"/>
        </w:rPr>
        <w:instrText xml:space="preserve"> SEQ level0 \*arabic </w:instrText>
      </w:r>
      <w:r w:rsidRPr="00B94E33">
        <w:rPr>
          <w:rFonts w:ascii="Times New Roman" w:eastAsia="Times New Roman" w:hAnsi="Times New Roman" w:cs="Times New Roman"/>
          <w:szCs w:val="24"/>
          <w:lang w:val="fr-FR"/>
        </w:rPr>
        <w:fldChar w:fldCharType="separate"/>
      </w:r>
      <w:r w:rsidR="00B94E33" w:rsidRPr="00B94E33">
        <w:rPr>
          <w:rFonts w:ascii="Times New Roman" w:eastAsia="Times New Roman" w:hAnsi="Times New Roman" w:cs="Times New Roman"/>
          <w:noProof/>
          <w:szCs w:val="24"/>
          <w:lang w:val="fr-FR"/>
        </w:rPr>
        <w:t>75</w:t>
      </w:r>
      <w:r w:rsidRPr="00B94E33">
        <w:rPr>
          <w:rFonts w:ascii="Times New Roman" w:eastAsia="Times New Roman" w:hAnsi="Times New Roman" w:cs="Times New Roman"/>
          <w:szCs w:val="24"/>
          <w:lang w:val="fr-FR"/>
        </w:rPr>
        <w:fldChar w:fldCharType="end"/>
      </w:r>
      <w:r w:rsidRPr="00B94E33">
        <w:rPr>
          <w:rFonts w:ascii="Times New Roman" w:eastAsia="Times New Roman" w:hAnsi="Times New Roman" w:cs="Times New Roman"/>
          <w:szCs w:val="24"/>
          <w:lang w:val="fr-FR"/>
        </w:rPr>
        <w:t>.  </w:t>
      </w:r>
      <w:r w:rsidR="00763745" w:rsidRPr="00B94E33">
        <w:rPr>
          <w:rFonts w:ascii="Times New Roman" w:eastAsia="Times New Roman" w:hAnsi="Times New Roman" w:cs="Times New Roman"/>
          <w:szCs w:val="24"/>
          <w:lang w:val="fr-FR"/>
        </w:rPr>
        <w:t>Eu égard à</w:t>
      </w:r>
      <w:r w:rsidR="00D92C89" w:rsidRPr="00B94E33">
        <w:rPr>
          <w:rFonts w:ascii="Times New Roman" w:eastAsia="Times New Roman" w:hAnsi="Times New Roman" w:cs="Times New Roman"/>
          <w:szCs w:val="24"/>
          <w:lang w:val="fr-FR"/>
        </w:rPr>
        <w:t xml:space="preserve"> ce qui précède, la Cour estime que la requête n</w:t>
      </w:r>
      <w:r w:rsidR="00B94E33" w:rsidRPr="00B94E33">
        <w:rPr>
          <w:rFonts w:ascii="Times New Roman" w:eastAsia="Times New Roman" w:hAnsi="Times New Roman" w:cs="Times New Roman"/>
          <w:szCs w:val="24"/>
          <w:lang w:val="fr-FR"/>
        </w:rPr>
        <w:t>’</w:t>
      </w:r>
      <w:r w:rsidR="00D92C89" w:rsidRPr="00B94E33">
        <w:rPr>
          <w:rFonts w:ascii="Times New Roman" w:eastAsia="Times New Roman" w:hAnsi="Times New Roman" w:cs="Times New Roman"/>
          <w:szCs w:val="24"/>
          <w:lang w:val="fr-FR"/>
        </w:rPr>
        <w:t>est pas manifestement mal fondée au sens de l</w:t>
      </w:r>
      <w:r w:rsidR="00B94E33" w:rsidRPr="00B94E33">
        <w:rPr>
          <w:rFonts w:ascii="Times New Roman" w:eastAsia="Times New Roman" w:hAnsi="Times New Roman" w:cs="Times New Roman"/>
          <w:szCs w:val="24"/>
          <w:lang w:val="fr-FR"/>
        </w:rPr>
        <w:t>’</w:t>
      </w:r>
      <w:r w:rsidR="00D92C89" w:rsidRPr="00B94E33">
        <w:rPr>
          <w:rFonts w:ascii="Times New Roman" w:eastAsia="Times New Roman" w:hAnsi="Times New Roman" w:cs="Times New Roman"/>
          <w:szCs w:val="24"/>
          <w:lang w:val="fr-FR"/>
        </w:rPr>
        <w:t xml:space="preserve">article 35 § 3 de la Convention. </w:t>
      </w:r>
      <w:r w:rsidR="00174966" w:rsidRPr="00B94E33">
        <w:rPr>
          <w:rFonts w:ascii="Times New Roman" w:eastAsia="Times New Roman" w:hAnsi="Times New Roman" w:cs="Times New Roman"/>
          <w:szCs w:val="24"/>
          <w:lang w:val="fr-FR"/>
        </w:rPr>
        <w:t>Constatant</w:t>
      </w:r>
      <w:r w:rsidR="00D92C89" w:rsidRPr="00B94E33">
        <w:rPr>
          <w:rFonts w:ascii="Times New Roman" w:eastAsia="Times New Roman" w:hAnsi="Times New Roman" w:cs="Times New Roman"/>
          <w:szCs w:val="24"/>
          <w:lang w:val="fr-FR"/>
        </w:rPr>
        <w:t xml:space="preserve"> par ailleurs qu</w:t>
      </w:r>
      <w:r w:rsidR="00B94E33" w:rsidRPr="00B94E33">
        <w:rPr>
          <w:rFonts w:ascii="Times New Roman" w:eastAsia="Times New Roman" w:hAnsi="Times New Roman" w:cs="Times New Roman"/>
          <w:szCs w:val="24"/>
          <w:lang w:val="fr-FR"/>
        </w:rPr>
        <w:t>’</w:t>
      </w:r>
      <w:r w:rsidR="00D92C89" w:rsidRPr="00B94E33">
        <w:rPr>
          <w:rFonts w:ascii="Times New Roman" w:eastAsia="Times New Roman" w:hAnsi="Times New Roman" w:cs="Times New Roman"/>
          <w:szCs w:val="24"/>
          <w:lang w:val="fr-FR"/>
        </w:rPr>
        <w:t>elle ne se heurte à aucun autre motif d</w:t>
      </w:r>
      <w:r w:rsidR="00B94E33" w:rsidRPr="00B94E33">
        <w:rPr>
          <w:rFonts w:ascii="Times New Roman" w:eastAsia="Times New Roman" w:hAnsi="Times New Roman" w:cs="Times New Roman"/>
          <w:szCs w:val="24"/>
          <w:lang w:val="fr-FR"/>
        </w:rPr>
        <w:t>’</w:t>
      </w:r>
      <w:r w:rsidR="00D92C89" w:rsidRPr="00B94E33">
        <w:rPr>
          <w:rFonts w:ascii="Times New Roman" w:eastAsia="Times New Roman" w:hAnsi="Times New Roman" w:cs="Times New Roman"/>
          <w:szCs w:val="24"/>
          <w:lang w:val="fr-FR"/>
        </w:rPr>
        <w:t>irrecevabilité</w:t>
      </w:r>
      <w:r w:rsidR="00174966" w:rsidRPr="00B94E33">
        <w:rPr>
          <w:rFonts w:ascii="Times New Roman" w:eastAsia="Times New Roman" w:hAnsi="Times New Roman" w:cs="Times New Roman"/>
          <w:szCs w:val="24"/>
          <w:lang w:val="fr-FR"/>
        </w:rPr>
        <w:t>, elle</w:t>
      </w:r>
      <w:r w:rsidR="00D92C89" w:rsidRPr="00B94E33">
        <w:rPr>
          <w:rFonts w:ascii="Times New Roman" w:eastAsia="Times New Roman" w:hAnsi="Times New Roman" w:cs="Times New Roman"/>
          <w:szCs w:val="24"/>
          <w:lang w:val="fr-FR"/>
        </w:rPr>
        <w:t xml:space="preserve"> </w:t>
      </w:r>
      <w:r w:rsidR="00174966" w:rsidRPr="00B94E33">
        <w:rPr>
          <w:rFonts w:ascii="Times New Roman" w:eastAsia="Times New Roman" w:hAnsi="Times New Roman" w:cs="Times New Roman"/>
          <w:szCs w:val="24"/>
          <w:lang w:val="fr-FR"/>
        </w:rPr>
        <w:t xml:space="preserve">la déclare </w:t>
      </w:r>
      <w:r w:rsidR="00D92C89" w:rsidRPr="00B94E33">
        <w:rPr>
          <w:rFonts w:ascii="Times New Roman" w:eastAsia="Times New Roman" w:hAnsi="Times New Roman" w:cs="Times New Roman"/>
          <w:szCs w:val="24"/>
          <w:lang w:val="fr-FR"/>
        </w:rPr>
        <w:t>recevable.</w:t>
      </w:r>
    </w:p>
    <w:p w:rsidR="00E77CB3" w:rsidRPr="00B94E33" w:rsidRDefault="006644C3" w:rsidP="00B94E33">
      <w:pPr>
        <w:pStyle w:val="ECHRHeading1"/>
        <w:rPr>
          <w:lang w:val="fr-FR"/>
        </w:rPr>
      </w:pPr>
      <w:r w:rsidRPr="00B94E33">
        <w:rPr>
          <w:lang w:val="fr-FR"/>
        </w:rPr>
        <w:t>I</w:t>
      </w:r>
      <w:r w:rsidR="00E77CB3" w:rsidRPr="00B94E33">
        <w:rPr>
          <w:lang w:val="fr-FR"/>
        </w:rPr>
        <w:t xml:space="preserve">I.  SUR LA VIOLATION ALLÉGUÉE </w:t>
      </w:r>
      <w:r w:rsidR="00CF2431" w:rsidRPr="00B94E33">
        <w:rPr>
          <w:lang w:val="fr-FR"/>
        </w:rPr>
        <w:t>DES ARTICLES</w:t>
      </w:r>
      <w:r w:rsidR="00E77CB3" w:rsidRPr="00B94E33">
        <w:rPr>
          <w:lang w:val="fr-FR"/>
        </w:rPr>
        <w:t xml:space="preserve"> </w:t>
      </w:r>
      <w:r w:rsidR="00B85772" w:rsidRPr="00B94E33">
        <w:rPr>
          <w:lang w:val="fr-FR"/>
        </w:rPr>
        <w:t>2</w:t>
      </w:r>
      <w:r w:rsidR="009A4363" w:rsidRPr="00B94E33">
        <w:rPr>
          <w:lang w:val="fr-FR"/>
        </w:rPr>
        <w:t xml:space="preserve"> </w:t>
      </w:r>
      <w:r w:rsidR="00CF2431" w:rsidRPr="00B94E33">
        <w:rPr>
          <w:lang w:val="fr-FR"/>
        </w:rPr>
        <w:t xml:space="preserve">ET 3 </w:t>
      </w:r>
      <w:r w:rsidR="00E77CB3" w:rsidRPr="00B94E33">
        <w:rPr>
          <w:lang w:val="fr-FR"/>
        </w:rPr>
        <w:t>DE LA CONVENTION</w:t>
      </w:r>
    </w:p>
    <w:p w:rsidR="00DA047A" w:rsidRPr="00B94E33" w:rsidRDefault="00DA02C2"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76</w:t>
      </w:r>
      <w:r w:rsidRPr="00B94E33">
        <w:rPr>
          <w:lang w:val="fr-FR"/>
        </w:rPr>
        <w:fldChar w:fldCharType="end"/>
      </w:r>
      <w:r w:rsidR="00E77CB3" w:rsidRPr="00B94E33">
        <w:rPr>
          <w:lang w:val="fr-FR"/>
        </w:rPr>
        <w:t>.  </w:t>
      </w:r>
      <w:r w:rsidR="00CF2431" w:rsidRPr="00B94E33">
        <w:rPr>
          <w:lang w:val="fr-FR"/>
        </w:rPr>
        <w:t>Invoquant les article</w:t>
      </w:r>
      <w:r w:rsidR="00F749B7" w:rsidRPr="00B94E33">
        <w:rPr>
          <w:lang w:val="fr-FR"/>
        </w:rPr>
        <w:t>s 2</w:t>
      </w:r>
      <w:r w:rsidR="000D1560" w:rsidRPr="00B94E33">
        <w:rPr>
          <w:lang w:val="fr-FR"/>
        </w:rPr>
        <w:t>,</w:t>
      </w:r>
      <w:r w:rsidR="00CF2431" w:rsidRPr="00B94E33">
        <w:rPr>
          <w:lang w:val="fr-FR"/>
        </w:rPr>
        <w:t xml:space="preserve"> 3 et 8 de la Convention, l</w:t>
      </w:r>
      <w:r w:rsidR="00035D4F" w:rsidRPr="00B94E33">
        <w:rPr>
          <w:lang w:val="fr-FR"/>
        </w:rPr>
        <w:t>a requérante</w:t>
      </w:r>
      <w:r w:rsidR="007D5CEE" w:rsidRPr="00B94E33">
        <w:rPr>
          <w:lang w:val="fr-FR"/>
        </w:rPr>
        <w:t xml:space="preserve">, </w:t>
      </w:r>
      <w:r w:rsidR="00CF2431" w:rsidRPr="00B94E33">
        <w:rPr>
          <w:lang w:val="fr-FR"/>
        </w:rPr>
        <w:t xml:space="preserve">se plaint que, par leur inertie et leur indifférence, les autorités italiennes, bien </w:t>
      </w:r>
      <w:r w:rsidR="00CF2431" w:rsidRPr="00B94E33">
        <w:rPr>
          <w:lang w:val="fr-FR"/>
        </w:rPr>
        <w:lastRenderedPageBreak/>
        <w:t>qu</w:t>
      </w:r>
      <w:r w:rsidR="00B94E33" w:rsidRPr="00B94E33">
        <w:rPr>
          <w:lang w:val="fr-FR"/>
        </w:rPr>
        <w:t>’</w:t>
      </w:r>
      <w:r w:rsidR="00CF2431" w:rsidRPr="00B94E33">
        <w:rPr>
          <w:lang w:val="fr-FR"/>
        </w:rPr>
        <w:t>averties à plusieurs reprises de la violence de son mari, n</w:t>
      </w:r>
      <w:r w:rsidR="00B94E33" w:rsidRPr="00B94E33">
        <w:rPr>
          <w:lang w:val="fr-FR"/>
        </w:rPr>
        <w:t>’</w:t>
      </w:r>
      <w:r w:rsidR="00CF2431" w:rsidRPr="00B94E33">
        <w:rPr>
          <w:lang w:val="fr-FR"/>
        </w:rPr>
        <w:t xml:space="preserve">ont pas pris les mesures nécessaires </w:t>
      </w:r>
      <w:r w:rsidR="00DA047A" w:rsidRPr="00B94E33">
        <w:rPr>
          <w:lang w:val="fr-FR"/>
        </w:rPr>
        <w:t xml:space="preserve">et appropriées pour protéger </w:t>
      </w:r>
      <w:r w:rsidR="00035D4F" w:rsidRPr="00B94E33">
        <w:rPr>
          <w:lang w:val="fr-FR"/>
        </w:rPr>
        <w:t>sa vie et celle de son fils</w:t>
      </w:r>
      <w:r w:rsidR="00DA047A" w:rsidRPr="00B94E33">
        <w:rPr>
          <w:lang w:val="fr-FR"/>
        </w:rPr>
        <w:t xml:space="preserve"> contre le danger</w:t>
      </w:r>
      <w:r w:rsidR="009E23B6" w:rsidRPr="00B94E33">
        <w:rPr>
          <w:lang w:val="fr-FR"/>
        </w:rPr>
        <w:t>,</w:t>
      </w:r>
      <w:r w:rsidR="00DA047A" w:rsidRPr="00B94E33">
        <w:rPr>
          <w:lang w:val="fr-FR"/>
        </w:rPr>
        <w:t xml:space="preserve"> </w:t>
      </w:r>
      <w:r w:rsidR="009E23B6" w:rsidRPr="00B94E33">
        <w:rPr>
          <w:lang w:val="fr-FR"/>
        </w:rPr>
        <w:t xml:space="preserve">à ses yeux </w:t>
      </w:r>
      <w:r w:rsidR="00DA047A" w:rsidRPr="00B94E33">
        <w:rPr>
          <w:lang w:val="fr-FR"/>
        </w:rPr>
        <w:t>réel et connu</w:t>
      </w:r>
      <w:r w:rsidR="00F749B7" w:rsidRPr="00B94E33">
        <w:rPr>
          <w:lang w:val="fr-FR"/>
        </w:rPr>
        <w:t xml:space="preserve"> que représentait son mari</w:t>
      </w:r>
      <w:r w:rsidR="009E23B6" w:rsidRPr="00B94E33">
        <w:rPr>
          <w:lang w:val="fr-FR"/>
        </w:rPr>
        <w:t>,</w:t>
      </w:r>
      <w:r w:rsidR="00DA047A" w:rsidRPr="00B94E33">
        <w:rPr>
          <w:lang w:val="fr-FR"/>
        </w:rPr>
        <w:t xml:space="preserve"> </w:t>
      </w:r>
      <w:r w:rsidR="00F749B7" w:rsidRPr="00B94E33">
        <w:rPr>
          <w:lang w:val="fr-FR"/>
        </w:rPr>
        <w:t>et n</w:t>
      </w:r>
      <w:r w:rsidR="00B94E33" w:rsidRPr="00B94E33">
        <w:rPr>
          <w:lang w:val="fr-FR"/>
        </w:rPr>
        <w:t>’</w:t>
      </w:r>
      <w:r w:rsidR="00F749B7" w:rsidRPr="00B94E33">
        <w:rPr>
          <w:lang w:val="fr-FR"/>
        </w:rPr>
        <w:t>ont pas empêché la commission d</w:t>
      </w:r>
      <w:r w:rsidR="00B94E33" w:rsidRPr="00B94E33">
        <w:rPr>
          <w:lang w:val="fr-FR"/>
        </w:rPr>
        <w:t>’</w:t>
      </w:r>
      <w:r w:rsidR="00F749B7" w:rsidRPr="00B94E33">
        <w:rPr>
          <w:lang w:val="fr-FR"/>
        </w:rPr>
        <w:t>autres violences domestiques.</w:t>
      </w:r>
      <w:r w:rsidR="00DA047A" w:rsidRPr="00B94E33">
        <w:rPr>
          <w:lang w:val="fr-FR"/>
        </w:rPr>
        <w:t xml:space="preserve"> </w:t>
      </w:r>
      <w:r w:rsidR="00F749B7" w:rsidRPr="00B94E33">
        <w:rPr>
          <w:lang w:val="fr-FR"/>
        </w:rPr>
        <w:t>Les</w:t>
      </w:r>
      <w:r w:rsidR="00DA047A" w:rsidRPr="00B94E33">
        <w:rPr>
          <w:lang w:val="fr-FR"/>
        </w:rPr>
        <w:t xml:space="preserve"> autorités on</w:t>
      </w:r>
      <w:r w:rsidR="00F749B7" w:rsidRPr="00B94E33">
        <w:rPr>
          <w:lang w:val="fr-FR"/>
        </w:rPr>
        <w:t xml:space="preserve">t ainsi </w:t>
      </w:r>
      <w:r w:rsidR="00DA047A" w:rsidRPr="00B94E33">
        <w:rPr>
          <w:lang w:val="fr-FR"/>
        </w:rPr>
        <w:t>failli à l</w:t>
      </w:r>
      <w:r w:rsidR="00763745" w:rsidRPr="00B94E33">
        <w:rPr>
          <w:lang w:val="fr-FR"/>
        </w:rPr>
        <w:t xml:space="preserve">eur </w:t>
      </w:r>
      <w:r w:rsidR="00DA047A" w:rsidRPr="00B94E33">
        <w:rPr>
          <w:lang w:val="fr-FR"/>
        </w:rPr>
        <w:t>obligation positive consacrée la Co</w:t>
      </w:r>
      <w:r w:rsidR="00CF2431" w:rsidRPr="00B94E33">
        <w:rPr>
          <w:lang w:val="fr-FR"/>
        </w:rPr>
        <w:t>nvention.</w:t>
      </w:r>
    </w:p>
    <w:p w:rsidR="00CF2431" w:rsidRPr="00B94E33" w:rsidRDefault="00CF2431" w:rsidP="00B94E33">
      <w:pPr>
        <w:pStyle w:val="ECHRPara"/>
        <w:rPr>
          <w:rFonts w:ascii="Times New Roman" w:eastAsia="Times New Roman" w:hAnsi="Times New Roman" w:cs="Times New Roman"/>
          <w:szCs w:val="24"/>
          <w:lang w:val="fr-FR"/>
        </w:rPr>
      </w:pPr>
      <w:r w:rsidRPr="00B94E33">
        <w:rPr>
          <w:rFonts w:ascii="Times New Roman" w:eastAsia="Times New Roman" w:hAnsi="Times New Roman" w:cs="Times New Roman"/>
          <w:szCs w:val="24"/>
          <w:lang w:val="fr-FR"/>
        </w:rPr>
        <w:fldChar w:fldCharType="begin"/>
      </w:r>
      <w:r w:rsidRPr="00B94E33">
        <w:rPr>
          <w:rFonts w:ascii="Times New Roman" w:eastAsia="Times New Roman" w:hAnsi="Times New Roman" w:cs="Times New Roman"/>
          <w:szCs w:val="24"/>
          <w:lang w:val="fr-FR"/>
        </w:rPr>
        <w:instrText xml:space="preserve"> SEQ level0 \*arabic </w:instrText>
      </w:r>
      <w:r w:rsidRPr="00B94E33">
        <w:rPr>
          <w:rFonts w:ascii="Times New Roman" w:eastAsia="Times New Roman" w:hAnsi="Times New Roman" w:cs="Times New Roman"/>
          <w:szCs w:val="24"/>
          <w:lang w:val="fr-FR"/>
        </w:rPr>
        <w:fldChar w:fldCharType="separate"/>
      </w:r>
      <w:r w:rsidR="00B94E33" w:rsidRPr="00B94E33">
        <w:rPr>
          <w:rFonts w:ascii="Times New Roman" w:eastAsia="Times New Roman" w:hAnsi="Times New Roman" w:cs="Times New Roman"/>
          <w:noProof/>
          <w:szCs w:val="24"/>
          <w:lang w:val="fr-FR"/>
        </w:rPr>
        <w:t>77</w:t>
      </w:r>
      <w:r w:rsidRPr="00B94E33">
        <w:rPr>
          <w:rFonts w:ascii="Times New Roman" w:eastAsia="Times New Roman" w:hAnsi="Times New Roman" w:cs="Times New Roman"/>
          <w:szCs w:val="24"/>
          <w:lang w:val="fr-FR"/>
        </w:rPr>
        <w:fldChar w:fldCharType="end"/>
      </w:r>
      <w:r w:rsidRPr="00B94E33">
        <w:rPr>
          <w:rFonts w:ascii="Times New Roman" w:eastAsia="Times New Roman" w:hAnsi="Times New Roman" w:cs="Times New Roman"/>
          <w:szCs w:val="24"/>
          <w:lang w:val="fr-FR"/>
        </w:rPr>
        <w:t xml:space="preserve">.  La Cour rappelle que, maîtresse de la qualification juridique des faits de la cause, elle ne se considère pas comme liée par celle que leur attribuent les requérants ou les gouvernements. En vertu du principe </w:t>
      </w:r>
      <w:r w:rsidRPr="00B94E33">
        <w:rPr>
          <w:rFonts w:ascii="Times New Roman" w:eastAsia="Times New Roman" w:hAnsi="Times New Roman" w:cs="Times New Roman"/>
          <w:i/>
          <w:szCs w:val="24"/>
          <w:lang w:val="fr-FR"/>
        </w:rPr>
        <w:t>jura novit curia</w:t>
      </w:r>
      <w:r w:rsidRPr="00B94E33">
        <w:rPr>
          <w:rFonts w:ascii="Times New Roman" w:eastAsia="Times New Roman" w:hAnsi="Times New Roman" w:cs="Times New Roman"/>
          <w:szCs w:val="24"/>
          <w:lang w:val="fr-FR"/>
        </w:rPr>
        <w:t>, elle a, par exemple, examiné d</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office des griefs sous l</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angle d</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un article ou paragraphe que n</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avaient pas invoqué les parties. Un grief se caractérise en effet par les faits qu</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il dénonce et non par les simples moyens ou arguments de droit invoqués (</w:t>
      </w:r>
      <w:r w:rsidRPr="00B94E33">
        <w:rPr>
          <w:rFonts w:ascii="Times New Roman" w:eastAsia="Times New Roman" w:hAnsi="Times New Roman" w:cs="Times New Roman"/>
          <w:i/>
          <w:szCs w:val="24"/>
          <w:lang w:val="fr-FR"/>
        </w:rPr>
        <w:t>Aksu c. Turquie</w:t>
      </w:r>
      <w:r w:rsidRPr="00B94E33">
        <w:rPr>
          <w:rFonts w:ascii="Times New Roman" w:eastAsia="Times New Roman" w:hAnsi="Times New Roman" w:cs="Times New Roman"/>
          <w:szCs w:val="24"/>
          <w:lang w:val="fr-FR"/>
        </w:rPr>
        <w:t xml:space="preserve"> [GC], n</w:t>
      </w:r>
      <w:r w:rsidRPr="00B94E33">
        <w:rPr>
          <w:rFonts w:ascii="Times New Roman" w:eastAsia="Times New Roman" w:hAnsi="Times New Roman" w:cs="Times New Roman"/>
          <w:szCs w:val="24"/>
          <w:vertAlign w:val="superscript"/>
          <w:lang w:val="fr-FR"/>
        </w:rPr>
        <w:t>os</w:t>
      </w:r>
      <w:r w:rsidRPr="00B94E33">
        <w:rPr>
          <w:rFonts w:ascii="Times New Roman" w:eastAsia="Times New Roman" w:hAnsi="Times New Roman" w:cs="Times New Roman"/>
          <w:szCs w:val="24"/>
          <w:lang w:val="fr-FR"/>
        </w:rPr>
        <w:t xml:space="preserve"> </w:t>
      </w:r>
      <w:hyperlink r:id="rId17" w:anchor="{&quot;appno&quot;:[&quot;4149/04&quot;]}" w:tgtFrame="_blank" w:history="1">
        <w:r w:rsidRPr="00B94E33">
          <w:rPr>
            <w:rFonts w:ascii="Times New Roman" w:eastAsia="Times New Roman" w:hAnsi="Times New Roman" w:cs="Times New Roman"/>
            <w:szCs w:val="24"/>
            <w:lang w:val="fr-FR"/>
          </w:rPr>
          <w:t>4149/04</w:t>
        </w:r>
      </w:hyperlink>
      <w:r w:rsidRPr="00B94E33">
        <w:rPr>
          <w:rFonts w:ascii="Times New Roman" w:eastAsia="Times New Roman" w:hAnsi="Times New Roman" w:cs="Times New Roman"/>
          <w:szCs w:val="24"/>
          <w:lang w:val="fr-FR"/>
        </w:rPr>
        <w:t xml:space="preserve"> et </w:t>
      </w:r>
      <w:hyperlink r:id="rId18" w:anchor="{&quot;appno&quot;:[&quot;41029/04&quot;]}" w:tgtFrame="_blank" w:history="1">
        <w:r w:rsidRPr="00B94E33">
          <w:rPr>
            <w:rFonts w:ascii="Times New Roman" w:eastAsia="Times New Roman" w:hAnsi="Times New Roman" w:cs="Times New Roman"/>
            <w:szCs w:val="24"/>
            <w:lang w:val="fr-FR"/>
          </w:rPr>
          <w:t>41029/04</w:t>
        </w:r>
      </w:hyperlink>
      <w:r w:rsidRPr="00B94E33">
        <w:rPr>
          <w:rFonts w:ascii="Times New Roman" w:eastAsia="Times New Roman" w:hAnsi="Times New Roman" w:cs="Times New Roman"/>
          <w:szCs w:val="24"/>
          <w:lang w:val="fr-FR"/>
        </w:rPr>
        <w:t>, § 43, CEDH 2012). Eu égard aux circonstances dénoncées par la requérante et à la formulation de ses griefs, la Cour examinera ces derniers sous l</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 xml:space="preserve">angle des articles 2 et 3 de la Convention (pour une approche similaire, voir </w:t>
      </w:r>
      <w:r w:rsidRPr="00B94E33">
        <w:rPr>
          <w:rFonts w:ascii="Times New Roman" w:eastAsia="Times New Roman" w:hAnsi="Times New Roman" w:cs="Times New Roman"/>
          <w:i/>
          <w:szCs w:val="24"/>
          <w:lang w:val="fr-FR"/>
        </w:rPr>
        <w:t>E.M. c.</w:t>
      </w:r>
      <w:r w:rsidR="006B1D94" w:rsidRPr="00B94E33">
        <w:rPr>
          <w:rFonts w:ascii="Times New Roman" w:eastAsia="Times New Roman" w:hAnsi="Times New Roman" w:cs="Times New Roman"/>
          <w:i/>
          <w:szCs w:val="24"/>
          <w:lang w:val="fr-FR"/>
        </w:rPr>
        <w:t> </w:t>
      </w:r>
      <w:r w:rsidRPr="00B94E33">
        <w:rPr>
          <w:rFonts w:ascii="Times New Roman" w:eastAsia="Times New Roman" w:hAnsi="Times New Roman" w:cs="Times New Roman"/>
          <w:i/>
          <w:szCs w:val="24"/>
          <w:lang w:val="fr-FR"/>
        </w:rPr>
        <w:t>Roumanie</w:t>
      </w:r>
      <w:r w:rsidRPr="00B94E33">
        <w:rPr>
          <w:rFonts w:ascii="Times New Roman" w:eastAsia="Times New Roman" w:hAnsi="Times New Roman" w:cs="Times New Roman"/>
          <w:szCs w:val="24"/>
          <w:lang w:val="fr-FR"/>
        </w:rPr>
        <w:t xml:space="preserve">, </w:t>
      </w:r>
      <w:r w:rsidRPr="00B94E33">
        <w:rPr>
          <w:lang w:val="fr-FR"/>
        </w:rPr>
        <w:t>n</w:t>
      </w:r>
      <w:r w:rsidRPr="00B94E33">
        <w:rPr>
          <w:vertAlign w:val="superscript"/>
          <w:lang w:val="fr-FR"/>
        </w:rPr>
        <w:t>o</w:t>
      </w:r>
      <w:r w:rsidRPr="00B94E33">
        <w:rPr>
          <w:rFonts w:ascii="Times New Roman" w:eastAsia="Times New Roman" w:hAnsi="Times New Roman" w:cs="Times New Roman"/>
          <w:szCs w:val="24"/>
          <w:lang w:val="fr-FR"/>
        </w:rPr>
        <w:t xml:space="preserve"> </w:t>
      </w:r>
      <w:hyperlink r:id="rId19" w:anchor="{&quot;appno&quot;:[&quot;43994/05&quot;]}" w:tgtFrame="_blank" w:history="1">
        <w:r w:rsidRPr="00B94E33">
          <w:rPr>
            <w:rFonts w:ascii="Times New Roman" w:eastAsia="Times New Roman" w:hAnsi="Times New Roman" w:cs="Times New Roman"/>
            <w:szCs w:val="24"/>
            <w:lang w:val="fr-FR"/>
          </w:rPr>
          <w:t>43994/05</w:t>
        </w:r>
      </w:hyperlink>
      <w:r w:rsidRPr="00B94E33">
        <w:rPr>
          <w:rFonts w:ascii="Times New Roman" w:eastAsia="Times New Roman" w:hAnsi="Times New Roman" w:cs="Times New Roman"/>
          <w:szCs w:val="24"/>
          <w:lang w:val="fr-FR"/>
        </w:rPr>
        <w:t xml:space="preserve">, § 51, 30 octobre 2012, </w:t>
      </w:r>
      <w:r w:rsidRPr="00B94E33">
        <w:rPr>
          <w:rFonts w:ascii="Times New Roman" w:eastAsia="Times New Roman" w:hAnsi="Times New Roman" w:cs="Times New Roman"/>
          <w:i/>
          <w:szCs w:val="24"/>
          <w:lang w:val="fr-FR"/>
        </w:rPr>
        <w:t>Valiulienė c. Lituanie</w:t>
      </w:r>
      <w:r w:rsidRPr="00B94E33">
        <w:rPr>
          <w:rFonts w:ascii="Times New Roman" w:eastAsia="Times New Roman" w:hAnsi="Times New Roman" w:cs="Times New Roman"/>
          <w:szCs w:val="24"/>
          <w:lang w:val="fr-FR"/>
        </w:rPr>
        <w:t xml:space="preserve">, </w:t>
      </w:r>
      <w:r w:rsidRPr="00B94E33">
        <w:rPr>
          <w:lang w:val="fr-FR"/>
        </w:rPr>
        <w:t>n</w:t>
      </w:r>
      <w:r w:rsidRPr="00B94E33">
        <w:rPr>
          <w:vertAlign w:val="superscript"/>
          <w:lang w:val="fr-FR"/>
        </w:rPr>
        <w:t>o</w:t>
      </w:r>
      <w:r w:rsidR="006B1D94" w:rsidRPr="00B94E33">
        <w:rPr>
          <w:vertAlign w:val="superscript"/>
          <w:lang w:val="fr-FR"/>
        </w:rPr>
        <w:t> </w:t>
      </w:r>
      <w:hyperlink r:id="rId20" w:anchor="{&quot;appno&quot;:[&quot;33234/07&quot;]}" w:tgtFrame="_blank" w:history="1">
        <w:r w:rsidRPr="00B94E33">
          <w:rPr>
            <w:rFonts w:ascii="Times New Roman" w:eastAsia="Times New Roman" w:hAnsi="Times New Roman" w:cs="Times New Roman"/>
            <w:szCs w:val="24"/>
            <w:lang w:val="fr-FR"/>
          </w:rPr>
          <w:t>33234/07</w:t>
        </w:r>
      </w:hyperlink>
      <w:r w:rsidRPr="00B94E33">
        <w:rPr>
          <w:rFonts w:ascii="Times New Roman" w:eastAsia="Times New Roman" w:hAnsi="Times New Roman" w:cs="Times New Roman"/>
          <w:szCs w:val="24"/>
          <w:lang w:val="fr-FR"/>
        </w:rPr>
        <w:t xml:space="preserve">, § 87, 26 mars 2013, et </w:t>
      </w:r>
      <w:r w:rsidR="009F3D94" w:rsidRPr="00B94E33">
        <w:rPr>
          <w:i/>
          <w:lang w:val="fr-FR"/>
        </w:rPr>
        <w:t>M.G</w:t>
      </w:r>
      <w:r w:rsidRPr="00B94E33">
        <w:rPr>
          <w:i/>
          <w:lang w:val="fr-FR"/>
        </w:rPr>
        <w:t>.</w:t>
      </w:r>
      <w:r w:rsidRPr="00B94E33">
        <w:rPr>
          <w:lang w:val="fr-FR"/>
        </w:rPr>
        <w:t xml:space="preserve"> </w:t>
      </w:r>
      <w:r w:rsidRPr="00B94E33">
        <w:rPr>
          <w:i/>
          <w:lang w:val="fr-FR"/>
        </w:rPr>
        <w:t>c. Turquie</w:t>
      </w:r>
      <w:r w:rsidRPr="00B94E33">
        <w:rPr>
          <w:snapToGrid w:val="0"/>
          <w:lang w:val="fr-FR"/>
        </w:rPr>
        <w:t xml:space="preserve">, </w:t>
      </w:r>
      <w:r w:rsidRPr="00B94E33">
        <w:rPr>
          <w:lang w:val="fr-FR"/>
        </w:rPr>
        <w:t>n</w:t>
      </w:r>
      <w:r w:rsidRPr="00B94E33">
        <w:rPr>
          <w:vertAlign w:val="superscript"/>
          <w:lang w:val="fr-FR"/>
        </w:rPr>
        <w:t>o</w:t>
      </w:r>
      <w:r w:rsidRPr="00B94E33">
        <w:rPr>
          <w:lang w:val="fr-FR"/>
        </w:rPr>
        <w:t xml:space="preserve"> 646/10</w:t>
      </w:r>
      <w:r w:rsidRPr="00B94E33">
        <w:rPr>
          <w:snapToGrid w:val="0"/>
          <w:lang w:val="fr-FR"/>
        </w:rPr>
        <w:t>, § 62, 22</w:t>
      </w:r>
      <w:r w:rsidR="006B1D94" w:rsidRPr="00B94E33">
        <w:rPr>
          <w:snapToGrid w:val="0"/>
          <w:lang w:val="fr-FR"/>
        </w:rPr>
        <w:t> </w:t>
      </w:r>
      <w:r w:rsidRPr="00B94E33">
        <w:rPr>
          <w:lang w:val="fr-FR"/>
        </w:rPr>
        <w:t>mars</w:t>
      </w:r>
      <w:r w:rsidRPr="00B94E33">
        <w:rPr>
          <w:snapToGrid w:val="0"/>
          <w:lang w:val="fr-FR"/>
        </w:rPr>
        <w:t xml:space="preserve"> 2016</w:t>
      </w:r>
      <w:r w:rsidRPr="00B94E33">
        <w:rPr>
          <w:rFonts w:ascii="Times New Roman" w:eastAsia="Times New Roman" w:hAnsi="Times New Roman" w:cs="Times New Roman"/>
          <w:szCs w:val="24"/>
          <w:lang w:val="fr-FR"/>
        </w:rPr>
        <w:t>).</w:t>
      </w:r>
    </w:p>
    <w:p w:rsidR="002A6B61" w:rsidRPr="00B94E33" w:rsidRDefault="002A6B61" w:rsidP="00B94E33">
      <w:pPr>
        <w:pStyle w:val="ECHRPara"/>
        <w:rPr>
          <w:rFonts w:ascii="Times New Roman" w:eastAsia="Times New Roman" w:hAnsi="Times New Roman" w:cs="Times New Roman"/>
          <w:szCs w:val="24"/>
          <w:lang w:val="fr-FR"/>
        </w:rPr>
      </w:pPr>
      <w:r w:rsidRPr="00B94E33">
        <w:rPr>
          <w:rFonts w:ascii="Times New Roman" w:eastAsia="Times New Roman" w:hAnsi="Times New Roman" w:cs="Times New Roman"/>
          <w:szCs w:val="24"/>
          <w:lang w:val="fr-FR"/>
        </w:rPr>
        <w:t>Aux termes de ces articles :</w:t>
      </w:r>
    </w:p>
    <w:p w:rsidR="002A6B61" w:rsidRPr="00B94E33" w:rsidRDefault="002A6B61" w:rsidP="00B94E33">
      <w:pPr>
        <w:pStyle w:val="ECHRTitleCentre3"/>
        <w:rPr>
          <w:i/>
          <w:lang w:val="fr-FR"/>
        </w:rPr>
      </w:pPr>
      <w:r w:rsidRPr="00B94E33">
        <w:rPr>
          <w:rFonts w:eastAsia="Times New Roman"/>
          <w:lang w:val="fr-FR"/>
        </w:rPr>
        <w:t>Article 2</w:t>
      </w:r>
    </w:p>
    <w:p w:rsidR="00B85772" w:rsidRPr="00B94E33" w:rsidRDefault="00B85772" w:rsidP="00B94E33">
      <w:pPr>
        <w:pStyle w:val="ECHRParaQuote"/>
        <w:rPr>
          <w:lang w:val="fr-FR"/>
        </w:rPr>
      </w:pPr>
      <w:r w:rsidRPr="00B94E33">
        <w:rPr>
          <w:lang w:val="fr-FR"/>
        </w:rPr>
        <w:t>« 1.  Le droit de toute personne à la vie est protégé par la loi. La mort ne peut être infligée à quiconque intentionnellement, sauf en exécution d</w:t>
      </w:r>
      <w:r w:rsidR="00B94E33" w:rsidRPr="00B94E33">
        <w:rPr>
          <w:lang w:val="fr-FR"/>
        </w:rPr>
        <w:t>’</w:t>
      </w:r>
      <w:r w:rsidRPr="00B94E33">
        <w:rPr>
          <w:lang w:val="fr-FR"/>
        </w:rPr>
        <w:t>une sentence capitale prononcée par un tribunal au cas où le délit est puni de cette peine par la loi.</w:t>
      </w:r>
      <w:r w:rsidR="009E23B6" w:rsidRPr="00B94E33">
        <w:rPr>
          <w:lang w:val="fr-FR"/>
        </w:rPr>
        <w:t> »</w:t>
      </w:r>
    </w:p>
    <w:p w:rsidR="002A6B61" w:rsidRPr="00B94E33" w:rsidRDefault="002A6B61" w:rsidP="00B94E33">
      <w:pPr>
        <w:pStyle w:val="ECHRTitleCentre3"/>
        <w:rPr>
          <w:lang w:val="fr-FR"/>
        </w:rPr>
      </w:pPr>
      <w:r w:rsidRPr="00B94E33">
        <w:rPr>
          <w:lang w:val="fr-FR"/>
        </w:rPr>
        <w:t>Article3</w:t>
      </w:r>
    </w:p>
    <w:p w:rsidR="002A6B61" w:rsidRPr="00B94E33" w:rsidRDefault="009F3D94" w:rsidP="00B94E33">
      <w:pPr>
        <w:pStyle w:val="ECHRParaQuote"/>
        <w:rPr>
          <w:lang w:val="fr-FR"/>
        </w:rPr>
      </w:pPr>
      <w:r w:rsidRPr="00B94E33">
        <w:rPr>
          <w:lang w:val="fr-FR"/>
        </w:rPr>
        <w:t>« Nul ne peut être soumis à la torture ni à des peines ou traitements inhumains ou dégradants. »</w:t>
      </w:r>
    </w:p>
    <w:p w:rsidR="00E77CB3" w:rsidRPr="00B94E33" w:rsidRDefault="00DA02C2"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78</w:t>
      </w:r>
      <w:r w:rsidRPr="00B94E33">
        <w:rPr>
          <w:lang w:val="fr-FR"/>
        </w:rPr>
        <w:fldChar w:fldCharType="end"/>
      </w:r>
      <w:r w:rsidR="00E77CB3" w:rsidRPr="00B94E33">
        <w:rPr>
          <w:lang w:val="fr-FR"/>
        </w:rPr>
        <w:t xml:space="preserve">.  Le Gouvernement </w:t>
      </w:r>
      <w:r w:rsidR="009E23B6" w:rsidRPr="00B94E33">
        <w:rPr>
          <w:lang w:val="fr-FR"/>
        </w:rPr>
        <w:t>combat</w:t>
      </w:r>
      <w:r w:rsidR="00E77CB3" w:rsidRPr="00B94E33">
        <w:rPr>
          <w:lang w:val="fr-FR"/>
        </w:rPr>
        <w:t xml:space="preserve"> cette thèse.</w:t>
      </w:r>
    </w:p>
    <w:p w:rsidR="00373811" w:rsidRPr="00B94E33" w:rsidRDefault="0056713F" w:rsidP="00B94E33">
      <w:pPr>
        <w:pStyle w:val="ECHRHeading2"/>
        <w:rPr>
          <w:lang w:val="fr-FR"/>
        </w:rPr>
      </w:pPr>
      <w:r w:rsidRPr="00B94E33">
        <w:rPr>
          <w:lang w:val="fr-FR"/>
        </w:rPr>
        <w:t>A</w:t>
      </w:r>
      <w:r w:rsidR="00CC36F6" w:rsidRPr="00B94E33">
        <w:rPr>
          <w:lang w:val="fr-FR"/>
        </w:rPr>
        <w:t>.</w:t>
      </w:r>
      <w:r w:rsidR="009E23B6" w:rsidRPr="00B94E33">
        <w:rPr>
          <w:lang w:val="fr-FR"/>
        </w:rPr>
        <w:t>  </w:t>
      </w:r>
      <w:r w:rsidR="00CC36F6" w:rsidRPr="00B94E33">
        <w:rPr>
          <w:lang w:val="fr-FR"/>
        </w:rPr>
        <w:t>Arguments de la requérante</w:t>
      </w:r>
    </w:p>
    <w:p w:rsidR="00FD0BE8" w:rsidRPr="00B94E33" w:rsidRDefault="00FD0BE8" w:rsidP="00B94E33">
      <w:pPr>
        <w:pStyle w:val="ECHRPara"/>
        <w:rPr>
          <w:lang w:val="fr-FR"/>
        </w:rPr>
      </w:pPr>
      <w:r w:rsidRPr="00B94E33">
        <w:fldChar w:fldCharType="begin"/>
      </w:r>
      <w:r w:rsidRPr="00B94E33">
        <w:rPr>
          <w:lang w:val="fr-FR"/>
        </w:rPr>
        <w:instrText xml:space="preserve"> SEQ level0 \*arabic </w:instrText>
      </w:r>
      <w:r w:rsidRPr="00B94E33">
        <w:fldChar w:fldCharType="separate"/>
      </w:r>
      <w:r w:rsidR="00B94E33" w:rsidRPr="00B94E33">
        <w:rPr>
          <w:noProof/>
          <w:lang w:val="fr-FR"/>
        </w:rPr>
        <w:t>79</w:t>
      </w:r>
      <w:r w:rsidRPr="00B94E33">
        <w:fldChar w:fldCharType="end"/>
      </w:r>
      <w:r w:rsidRPr="00B94E33">
        <w:rPr>
          <w:lang w:val="fr-FR"/>
        </w:rPr>
        <w:t xml:space="preserve">.  La requérante allègue que le manquement des autorités à leur obligation de protéger sa vie et celle de son fils, tué par son mari, </w:t>
      </w:r>
      <w:r w:rsidR="001500F4" w:rsidRPr="00B94E33">
        <w:rPr>
          <w:lang w:val="fr-FR"/>
        </w:rPr>
        <w:t xml:space="preserve">a </w:t>
      </w:r>
      <w:r w:rsidRPr="00B94E33">
        <w:rPr>
          <w:lang w:val="fr-FR"/>
        </w:rPr>
        <w:t>emport</w:t>
      </w:r>
      <w:r w:rsidR="001500F4" w:rsidRPr="00B94E33">
        <w:rPr>
          <w:lang w:val="fr-FR"/>
        </w:rPr>
        <w:t>é</w:t>
      </w:r>
      <w:r w:rsidRPr="00B94E33">
        <w:rPr>
          <w:lang w:val="fr-FR"/>
        </w:rPr>
        <w:t xml:space="preserve"> violation de l</w:t>
      </w:r>
      <w:r w:rsidR="00B94E33" w:rsidRPr="00B94E33">
        <w:rPr>
          <w:lang w:val="fr-FR"/>
        </w:rPr>
        <w:t>’</w:t>
      </w:r>
      <w:r w:rsidRPr="00B94E33">
        <w:rPr>
          <w:lang w:val="fr-FR"/>
        </w:rPr>
        <w:t xml:space="preserve">article 2 de la Convention. Elle </w:t>
      </w:r>
      <w:r w:rsidR="002B5A18" w:rsidRPr="00B94E33">
        <w:rPr>
          <w:lang w:val="fr-FR"/>
        </w:rPr>
        <w:t xml:space="preserve">soutient </w:t>
      </w:r>
      <w:r w:rsidR="001500F4" w:rsidRPr="00B94E33">
        <w:rPr>
          <w:lang w:val="fr-FR"/>
        </w:rPr>
        <w:t xml:space="preserve">à cet égard </w:t>
      </w:r>
      <w:r w:rsidRPr="00B94E33">
        <w:rPr>
          <w:lang w:val="fr-FR"/>
        </w:rPr>
        <w:t>que les autorités italiennes n</w:t>
      </w:r>
      <w:r w:rsidR="00B94E33" w:rsidRPr="00B94E33">
        <w:rPr>
          <w:lang w:val="fr-FR"/>
        </w:rPr>
        <w:t>’</w:t>
      </w:r>
      <w:r w:rsidRPr="00B94E33">
        <w:rPr>
          <w:lang w:val="fr-FR"/>
        </w:rPr>
        <w:t>ont pas protégé le droit à la vie de son fils et qu</w:t>
      </w:r>
      <w:r w:rsidR="00B94E33" w:rsidRPr="00B94E33">
        <w:rPr>
          <w:lang w:val="fr-FR"/>
        </w:rPr>
        <w:t>’</w:t>
      </w:r>
      <w:r w:rsidRPr="00B94E33">
        <w:rPr>
          <w:lang w:val="fr-FR"/>
        </w:rPr>
        <w:t xml:space="preserve">elles </w:t>
      </w:r>
      <w:r w:rsidR="001500F4" w:rsidRPr="00B94E33">
        <w:rPr>
          <w:lang w:val="fr-FR"/>
        </w:rPr>
        <w:t>ont fait preuve de négligence</w:t>
      </w:r>
      <w:r w:rsidRPr="00B94E33">
        <w:rPr>
          <w:lang w:val="fr-FR"/>
        </w:rPr>
        <w:t xml:space="preserve"> devant les actes de violence, les menaces et les blessures </w:t>
      </w:r>
      <w:r w:rsidR="00E55B3C" w:rsidRPr="00B94E33">
        <w:rPr>
          <w:lang w:val="fr-FR"/>
        </w:rPr>
        <w:t xml:space="preserve">répétés </w:t>
      </w:r>
      <w:r w:rsidRPr="00B94E33">
        <w:rPr>
          <w:lang w:val="fr-FR"/>
        </w:rPr>
        <w:t>dont elle</w:t>
      </w:r>
      <w:r w:rsidR="00580F8C" w:rsidRPr="00B94E33">
        <w:rPr>
          <w:lang w:val="fr-FR"/>
        </w:rPr>
        <w:t>-même</w:t>
      </w:r>
      <w:r w:rsidRPr="00B94E33">
        <w:rPr>
          <w:lang w:val="fr-FR"/>
        </w:rPr>
        <w:t xml:space="preserve"> a</w:t>
      </w:r>
      <w:r w:rsidR="001500F4" w:rsidRPr="00B94E33">
        <w:rPr>
          <w:lang w:val="fr-FR"/>
        </w:rPr>
        <w:t>ur</w:t>
      </w:r>
      <w:r w:rsidRPr="00B94E33">
        <w:rPr>
          <w:lang w:val="fr-FR"/>
        </w:rPr>
        <w:t>ait été</w:t>
      </w:r>
      <w:r w:rsidR="00E55B3C" w:rsidRPr="00B94E33">
        <w:rPr>
          <w:lang w:val="fr-FR"/>
        </w:rPr>
        <w:t xml:space="preserve"> </w:t>
      </w:r>
      <w:r w:rsidRPr="00B94E33">
        <w:rPr>
          <w:lang w:val="fr-FR"/>
        </w:rPr>
        <w:t>l</w:t>
      </w:r>
      <w:r w:rsidR="00B94E33" w:rsidRPr="00B94E33">
        <w:rPr>
          <w:lang w:val="fr-FR"/>
        </w:rPr>
        <w:t>’</w:t>
      </w:r>
      <w:r w:rsidRPr="00B94E33">
        <w:rPr>
          <w:lang w:val="fr-FR"/>
        </w:rPr>
        <w:t>objet.</w:t>
      </w:r>
    </w:p>
    <w:p w:rsidR="00373811" w:rsidRPr="00B94E33" w:rsidRDefault="00FD0BE8"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80</w:t>
      </w:r>
      <w:r w:rsidRPr="00B94E33">
        <w:rPr>
          <w:lang w:val="fr-FR"/>
        </w:rPr>
        <w:fldChar w:fldCharType="end"/>
      </w:r>
      <w:r w:rsidRPr="00B94E33">
        <w:rPr>
          <w:lang w:val="fr-FR"/>
        </w:rPr>
        <w:t>.  Elle argue que les autorités italiennes</w:t>
      </w:r>
      <w:r w:rsidR="00373811" w:rsidRPr="00B94E33">
        <w:rPr>
          <w:lang w:val="fr-FR"/>
        </w:rPr>
        <w:t xml:space="preserve"> </w:t>
      </w:r>
      <w:r w:rsidR="007D5CEE" w:rsidRPr="00B94E33">
        <w:rPr>
          <w:lang w:val="fr-FR"/>
        </w:rPr>
        <w:t xml:space="preserve">ont </w:t>
      </w:r>
      <w:r w:rsidRPr="00B94E33">
        <w:rPr>
          <w:lang w:val="fr-FR"/>
        </w:rPr>
        <w:t>toléré</w:t>
      </w:r>
      <w:r w:rsidR="00373811" w:rsidRPr="00B94E33">
        <w:rPr>
          <w:lang w:val="fr-FR"/>
        </w:rPr>
        <w:t xml:space="preserve"> </w:t>
      </w:r>
      <w:r w:rsidR="00373811" w:rsidRPr="00B94E33">
        <w:rPr>
          <w:i/>
          <w:lang w:val="fr-FR"/>
        </w:rPr>
        <w:t>de facto</w:t>
      </w:r>
      <w:r w:rsidR="00373811" w:rsidRPr="00B94E33">
        <w:rPr>
          <w:lang w:val="fr-FR"/>
        </w:rPr>
        <w:t xml:space="preserve"> la violence de son mari. </w:t>
      </w:r>
      <w:r w:rsidR="001F521B" w:rsidRPr="00B94E33">
        <w:rPr>
          <w:lang w:val="fr-FR"/>
        </w:rPr>
        <w:t xml:space="preserve">Elle </w:t>
      </w:r>
      <w:r w:rsidR="00F06221" w:rsidRPr="00B94E33">
        <w:rPr>
          <w:lang w:val="fr-FR"/>
        </w:rPr>
        <w:t>estim</w:t>
      </w:r>
      <w:r w:rsidR="001F521B" w:rsidRPr="00B94E33">
        <w:rPr>
          <w:lang w:val="fr-FR"/>
        </w:rPr>
        <w:t>e que l</w:t>
      </w:r>
      <w:r w:rsidRPr="00B94E33">
        <w:rPr>
          <w:lang w:val="fr-FR"/>
        </w:rPr>
        <w:t>es</w:t>
      </w:r>
      <w:r w:rsidR="00373811" w:rsidRPr="00B94E33">
        <w:rPr>
          <w:lang w:val="fr-FR"/>
        </w:rPr>
        <w:t xml:space="preserve"> agents de police savaient </w:t>
      </w:r>
      <w:r w:rsidR="0040017B" w:rsidRPr="00B94E33">
        <w:rPr>
          <w:lang w:val="fr-FR"/>
        </w:rPr>
        <w:t xml:space="preserve">depuis juin 2012 </w:t>
      </w:r>
      <w:r w:rsidR="00373811" w:rsidRPr="00B94E33">
        <w:rPr>
          <w:lang w:val="fr-FR"/>
        </w:rPr>
        <w:t>qu</w:t>
      </w:r>
      <w:r w:rsidR="00B94E33" w:rsidRPr="00B94E33">
        <w:rPr>
          <w:lang w:val="fr-FR"/>
        </w:rPr>
        <w:t>’</w:t>
      </w:r>
      <w:r w:rsidR="00373811" w:rsidRPr="00B94E33">
        <w:rPr>
          <w:lang w:val="fr-FR"/>
        </w:rPr>
        <w:t xml:space="preserve">elle </w:t>
      </w:r>
      <w:r w:rsidR="001F521B" w:rsidRPr="00B94E33">
        <w:rPr>
          <w:lang w:val="fr-FR"/>
        </w:rPr>
        <w:t>était victime de</w:t>
      </w:r>
      <w:r w:rsidR="00373811" w:rsidRPr="00B94E33">
        <w:rPr>
          <w:lang w:val="fr-FR"/>
        </w:rPr>
        <w:t xml:space="preserve"> violence</w:t>
      </w:r>
      <w:r w:rsidR="001F521B" w:rsidRPr="00B94E33">
        <w:rPr>
          <w:lang w:val="fr-FR"/>
        </w:rPr>
        <w:t>s et qu</w:t>
      </w:r>
      <w:r w:rsidR="00B94E33" w:rsidRPr="00B94E33">
        <w:rPr>
          <w:lang w:val="fr-FR"/>
        </w:rPr>
        <w:t>’</w:t>
      </w:r>
      <w:r w:rsidR="002D23F5" w:rsidRPr="00B94E33">
        <w:rPr>
          <w:lang w:val="fr-FR"/>
        </w:rPr>
        <w:t xml:space="preserve">ils auraient </w:t>
      </w:r>
      <w:r w:rsidRPr="00B94E33">
        <w:rPr>
          <w:lang w:val="fr-FR"/>
        </w:rPr>
        <w:t>dû</w:t>
      </w:r>
      <w:r w:rsidR="002D23F5" w:rsidRPr="00B94E33">
        <w:rPr>
          <w:lang w:val="fr-FR"/>
        </w:rPr>
        <w:t xml:space="preserve"> savoir qu</w:t>
      </w:r>
      <w:r w:rsidR="00B94E33" w:rsidRPr="00B94E33">
        <w:rPr>
          <w:lang w:val="fr-FR"/>
        </w:rPr>
        <w:t>’</w:t>
      </w:r>
      <w:r w:rsidR="002D23F5" w:rsidRPr="00B94E33">
        <w:rPr>
          <w:lang w:val="fr-FR"/>
        </w:rPr>
        <w:t xml:space="preserve">il y avait un </w:t>
      </w:r>
      <w:r w:rsidRPr="00B94E33">
        <w:rPr>
          <w:lang w:val="fr-FR"/>
        </w:rPr>
        <w:t>risque</w:t>
      </w:r>
      <w:r w:rsidR="002D23F5" w:rsidRPr="00B94E33">
        <w:rPr>
          <w:lang w:val="fr-FR"/>
        </w:rPr>
        <w:t xml:space="preserve"> </w:t>
      </w:r>
      <w:r w:rsidRPr="00B94E33">
        <w:rPr>
          <w:lang w:val="fr-FR"/>
        </w:rPr>
        <w:t>réel</w:t>
      </w:r>
      <w:r w:rsidR="002D23F5" w:rsidRPr="00B94E33">
        <w:rPr>
          <w:lang w:val="fr-FR"/>
        </w:rPr>
        <w:t xml:space="preserve"> et </w:t>
      </w:r>
      <w:r w:rsidRPr="00B94E33">
        <w:rPr>
          <w:lang w:val="fr-FR"/>
        </w:rPr>
        <w:t>sérieux</w:t>
      </w:r>
      <w:r w:rsidR="002D23F5" w:rsidRPr="00B94E33">
        <w:rPr>
          <w:lang w:val="fr-FR"/>
        </w:rPr>
        <w:t xml:space="preserve"> que </w:t>
      </w:r>
      <w:r w:rsidR="00BF11C3" w:rsidRPr="00B94E33">
        <w:rPr>
          <w:lang w:val="fr-FR"/>
        </w:rPr>
        <w:t>A.T.</w:t>
      </w:r>
      <w:r w:rsidR="002D23F5" w:rsidRPr="00B94E33">
        <w:rPr>
          <w:lang w:val="fr-FR"/>
        </w:rPr>
        <w:t xml:space="preserve"> </w:t>
      </w:r>
      <w:r w:rsidR="001F521B" w:rsidRPr="00B94E33">
        <w:rPr>
          <w:lang w:val="fr-FR"/>
        </w:rPr>
        <w:t>perp</w:t>
      </w:r>
      <w:r w:rsidR="00F06221" w:rsidRPr="00B94E33">
        <w:rPr>
          <w:lang w:val="fr-FR"/>
        </w:rPr>
        <w:t>étrât</w:t>
      </w:r>
      <w:r w:rsidR="002D23F5" w:rsidRPr="00B94E33">
        <w:rPr>
          <w:lang w:val="fr-FR"/>
        </w:rPr>
        <w:t xml:space="preserve"> de</w:t>
      </w:r>
      <w:r w:rsidRPr="00B94E33">
        <w:rPr>
          <w:lang w:val="fr-FR"/>
        </w:rPr>
        <w:t>s actions violentes contre elle.</w:t>
      </w:r>
      <w:r w:rsidR="009D405D" w:rsidRPr="00B94E33">
        <w:rPr>
          <w:lang w:val="fr-FR"/>
        </w:rPr>
        <w:t xml:space="preserve"> </w:t>
      </w:r>
      <w:r w:rsidR="00F06221" w:rsidRPr="00B94E33">
        <w:rPr>
          <w:lang w:val="fr-FR"/>
        </w:rPr>
        <w:t xml:space="preserve">Selon la requérante, </w:t>
      </w:r>
      <w:r w:rsidR="001F521B" w:rsidRPr="00B94E33">
        <w:rPr>
          <w:lang w:val="fr-FR"/>
        </w:rPr>
        <w:t xml:space="preserve">il y a eu </w:t>
      </w:r>
      <w:r w:rsidRPr="00B94E33">
        <w:rPr>
          <w:lang w:val="fr-FR"/>
        </w:rPr>
        <w:t xml:space="preserve">des </w:t>
      </w:r>
      <w:r w:rsidR="009D405D" w:rsidRPr="00B94E33">
        <w:rPr>
          <w:lang w:val="fr-FR"/>
        </w:rPr>
        <w:t>signes évidents</w:t>
      </w:r>
      <w:r w:rsidR="002D23F5" w:rsidRPr="00B94E33">
        <w:rPr>
          <w:lang w:val="fr-FR"/>
        </w:rPr>
        <w:t xml:space="preserve"> de la</w:t>
      </w:r>
      <w:r w:rsidRPr="00B94E33">
        <w:rPr>
          <w:lang w:val="fr-FR"/>
        </w:rPr>
        <w:t xml:space="preserve"> persistance du danger</w:t>
      </w:r>
      <w:r w:rsidR="001F521B" w:rsidRPr="00B94E33">
        <w:rPr>
          <w:lang w:val="fr-FR"/>
        </w:rPr>
        <w:t xml:space="preserve"> </w:t>
      </w:r>
      <w:r w:rsidR="00F06221" w:rsidRPr="00B94E33">
        <w:rPr>
          <w:lang w:val="fr-FR"/>
        </w:rPr>
        <w:t>la</w:t>
      </w:r>
      <w:r w:rsidR="001F521B" w:rsidRPr="00B94E33">
        <w:rPr>
          <w:lang w:val="fr-FR"/>
        </w:rPr>
        <w:t xml:space="preserve"> mena</w:t>
      </w:r>
      <w:r w:rsidR="00F06221" w:rsidRPr="00B94E33">
        <w:rPr>
          <w:lang w:val="fr-FR"/>
        </w:rPr>
        <w:t>çant</w:t>
      </w:r>
      <w:r w:rsidRPr="00B94E33">
        <w:rPr>
          <w:lang w:val="fr-FR"/>
        </w:rPr>
        <w:t xml:space="preserve">, </w:t>
      </w:r>
      <w:r w:rsidR="002D23F5" w:rsidRPr="00B94E33">
        <w:rPr>
          <w:lang w:val="fr-FR"/>
        </w:rPr>
        <w:t xml:space="preserve">mais </w:t>
      </w:r>
      <w:r w:rsidRPr="00B94E33">
        <w:rPr>
          <w:lang w:val="fr-FR"/>
        </w:rPr>
        <w:t xml:space="preserve">les autorités </w:t>
      </w:r>
      <w:r w:rsidR="002D23F5" w:rsidRPr="00B94E33">
        <w:rPr>
          <w:lang w:val="fr-FR"/>
        </w:rPr>
        <w:t>n</w:t>
      </w:r>
      <w:r w:rsidR="00B94E33" w:rsidRPr="00B94E33">
        <w:rPr>
          <w:lang w:val="fr-FR"/>
        </w:rPr>
        <w:t>’</w:t>
      </w:r>
      <w:r w:rsidR="002D23F5" w:rsidRPr="00B94E33">
        <w:rPr>
          <w:lang w:val="fr-FR"/>
        </w:rPr>
        <w:t xml:space="preserve">ont pas pris les mesures </w:t>
      </w:r>
      <w:r w:rsidR="009D405D" w:rsidRPr="00B94E33">
        <w:rPr>
          <w:lang w:val="fr-FR"/>
        </w:rPr>
        <w:t>nécessaires</w:t>
      </w:r>
      <w:r w:rsidR="002D23F5" w:rsidRPr="00B94E33">
        <w:rPr>
          <w:lang w:val="fr-FR"/>
        </w:rPr>
        <w:t xml:space="preserve"> </w:t>
      </w:r>
      <w:r w:rsidR="001F521B" w:rsidRPr="00B94E33">
        <w:rPr>
          <w:lang w:val="fr-FR"/>
        </w:rPr>
        <w:lastRenderedPageBreak/>
        <w:t>immédiatement</w:t>
      </w:r>
      <w:r w:rsidR="002D23F5" w:rsidRPr="00B94E33">
        <w:rPr>
          <w:lang w:val="fr-FR"/>
        </w:rPr>
        <w:t xml:space="preserve"> après le </w:t>
      </w:r>
      <w:r w:rsidR="009D405D" w:rsidRPr="00B94E33">
        <w:rPr>
          <w:lang w:val="fr-FR"/>
        </w:rPr>
        <w:t>dépôt</w:t>
      </w:r>
      <w:r w:rsidR="002D23F5" w:rsidRPr="00B94E33">
        <w:rPr>
          <w:lang w:val="fr-FR"/>
        </w:rPr>
        <w:t xml:space="preserve"> de </w:t>
      </w:r>
      <w:r w:rsidR="001F521B" w:rsidRPr="00B94E33">
        <w:rPr>
          <w:lang w:val="fr-FR"/>
        </w:rPr>
        <w:t>s</w:t>
      </w:r>
      <w:r w:rsidR="002D23F5" w:rsidRPr="00B94E33">
        <w:rPr>
          <w:lang w:val="fr-FR"/>
        </w:rPr>
        <w:t>a plainte</w:t>
      </w:r>
      <w:r w:rsidR="001F521B" w:rsidRPr="00B94E33">
        <w:rPr>
          <w:lang w:val="fr-FR"/>
        </w:rPr>
        <w:t xml:space="preserve"> et </w:t>
      </w:r>
      <w:r w:rsidR="007D5CEE" w:rsidRPr="00B94E33">
        <w:rPr>
          <w:lang w:val="fr-FR"/>
        </w:rPr>
        <w:t>l</w:t>
      </w:r>
      <w:r w:rsidR="00B94E33" w:rsidRPr="00B94E33">
        <w:rPr>
          <w:lang w:val="fr-FR"/>
        </w:rPr>
        <w:t>’</w:t>
      </w:r>
      <w:r w:rsidR="007D5CEE" w:rsidRPr="00B94E33">
        <w:rPr>
          <w:lang w:val="fr-FR"/>
        </w:rPr>
        <w:t>ont</w:t>
      </w:r>
      <w:r w:rsidR="001F521B" w:rsidRPr="00B94E33">
        <w:rPr>
          <w:lang w:val="fr-FR"/>
        </w:rPr>
        <w:t xml:space="preserve"> ainsi laissée</w:t>
      </w:r>
      <w:r w:rsidR="002D23F5" w:rsidRPr="00B94E33">
        <w:rPr>
          <w:lang w:val="fr-FR"/>
        </w:rPr>
        <w:t xml:space="preserve"> seule et sans </w:t>
      </w:r>
      <w:r w:rsidR="009D405D" w:rsidRPr="00B94E33">
        <w:rPr>
          <w:lang w:val="fr-FR"/>
        </w:rPr>
        <w:t>défense</w:t>
      </w:r>
      <w:r w:rsidR="002D23F5" w:rsidRPr="00B94E33">
        <w:rPr>
          <w:lang w:val="fr-FR"/>
        </w:rPr>
        <w:t>.</w:t>
      </w:r>
    </w:p>
    <w:p w:rsidR="00EF4E78" w:rsidRPr="00B94E33" w:rsidRDefault="009D405D"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81</w:t>
      </w:r>
      <w:r w:rsidRPr="00B94E33">
        <w:rPr>
          <w:lang w:val="fr-FR"/>
        </w:rPr>
        <w:fldChar w:fldCharType="end"/>
      </w:r>
      <w:r w:rsidRPr="00B94E33">
        <w:rPr>
          <w:lang w:val="fr-FR"/>
        </w:rPr>
        <w:t>.  </w:t>
      </w:r>
      <w:r w:rsidR="00F06221" w:rsidRPr="00B94E33">
        <w:rPr>
          <w:lang w:val="fr-FR"/>
        </w:rPr>
        <w:t xml:space="preserve">La requérante </w:t>
      </w:r>
      <w:r w:rsidR="003460FA" w:rsidRPr="00B94E33">
        <w:rPr>
          <w:lang w:val="fr-FR"/>
        </w:rPr>
        <w:t>allègue encore</w:t>
      </w:r>
      <w:r w:rsidR="001F521B" w:rsidRPr="00B94E33">
        <w:rPr>
          <w:lang w:val="fr-FR"/>
        </w:rPr>
        <w:t xml:space="preserve"> </w:t>
      </w:r>
      <w:r w:rsidRPr="00B94E33">
        <w:rPr>
          <w:lang w:val="fr-FR"/>
        </w:rPr>
        <w:t>qu</w:t>
      </w:r>
      <w:r w:rsidR="00F06221" w:rsidRPr="00B94E33">
        <w:rPr>
          <w:lang w:val="fr-FR"/>
        </w:rPr>
        <w:t xml:space="preserve">e, en dépit du </w:t>
      </w:r>
      <w:r w:rsidRPr="00B94E33">
        <w:rPr>
          <w:lang w:val="fr-FR"/>
        </w:rPr>
        <w:t>certificat d</w:t>
      </w:r>
      <w:r w:rsidR="0040017B" w:rsidRPr="00B94E33">
        <w:rPr>
          <w:lang w:val="fr-FR"/>
        </w:rPr>
        <w:t>e</w:t>
      </w:r>
      <w:r w:rsidRPr="00B94E33">
        <w:rPr>
          <w:lang w:val="fr-FR"/>
        </w:rPr>
        <w:t xml:space="preserve"> l</w:t>
      </w:r>
      <w:r w:rsidR="00B94E33" w:rsidRPr="00B94E33">
        <w:rPr>
          <w:lang w:val="fr-FR"/>
        </w:rPr>
        <w:t>’</w:t>
      </w:r>
      <w:r w:rsidRPr="00B94E33">
        <w:rPr>
          <w:lang w:val="fr-FR"/>
        </w:rPr>
        <w:t xml:space="preserve">hôpital </w:t>
      </w:r>
      <w:r w:rsidR="00F06221" w:rsidRPr="00B94E33">
        <w:rPr>
          <w:lang w:val="fr-FR"/>
        </w:rPr>
        <w:t>du</w:t>
      </w:r>
      <w:r w:rsidRPr="00B94E33">
        <w:rPr>
          <w:lang w:val="fr-FR"/>
        </w:rPr>
        <w:t xml:space="preserve"> 19</w:t>
      </w:r>
      <w:r w:rsidR="001F521B" w:rsidRPr="00B94E33">
        <w:rPr>
          <w:lang w:val="fr-FR"/>
        </w:rPr>
        <w:t> </w:t>
      </w:r>
      <w:r w:rsidRPr="00B94E33">
        <w:rPr>
          <w:lang w:val="fr-FR"/>
        </w:rPr>
        <w:t>août</w:t>
      </w:r>
      <w:r w:rsidR="009A4363" w:rsidRPr="00B94E33">
        <w:rPr>
          <w:lang w:val="fr-FR"/>
        </w:rPr>
        <w:t xml:space="preserve"> </w:t>
      </w:r>
      <w:r w:rsidRPr="00B94E33">
        <w:rPr>
          <w:lang w:val="fr-FR"/>
        </w:rPr>
        <w:t>2012</w:t>
      </w:r>
      <w:r w:rsidR="002D23F5" w:rsidRPr="00B94E33">
        <w:rPr>
          <w:lang w:val="fr-FR"/>
        </w:rPr>
        <w:t xml:space="preserve"> </w:t>
      </w:r>
      <w:r w:rsidR="00F06221" w:rsidRPr="00B94E33">
        <w:rPr>
          <w:lang w:val="fr-FR"/>
        </w:rPr>
        <w:t xml:space="preserve">établissant </w:t>
      </w:r>
      <w:r w:rsidRPr="00B94E33">
        <w:rPr>
          <w:lang w:val="fr-FR"/>
        </w:rPr>
        <w:t>qu</w:t>
      </w:r>
      <w:r w:rsidR="00B94E33" w:rsidRPr="00B94E33">
        <w:rPr>
          <w:lang w:val="fr-FR"/>
        </w:rPr>
        <w:t>’</w:t>
      </w:r>
      <w:r w:rsidRPr="00B94E33">
        <w:rPr>
          <w:lang w:val="fr-FR"/>
        </w:rPr>
        <w:t>elle</w:t>
      </w:r>
      <w:r w:rsidR="002D23F5" w:rsidRPr="00B94E33">
        <w:rPr>
          <w:lang w:val="fr-FR"/>
        </w:rPr>
        <w:t xml:space="preserve"> a</w:t>
      </w:r>
      <w:r w:rsidR="00F06221" w:rsidRPr="00B94E33">
        <w:rPr>
          <w:lang w:val="fr-FR"/>
        </w:rPr>
        <w:t>vait</w:t>
      </w:r>
      <w:r w:rsidR="002D23F5" w:rsidRPr="00B94E33">
        <w:rPr>
          <w:lang w:val="fr-FR"/>
        </w:rPr>
        <w:t xml:space="preserve"> été battue et menacé</w:t>
      </w:r>
      <w:r w:rsidR="001F521B" w:rsidRPr="00B94E33">
        <w:rPr>
          <w:lang w:val="fr-FR"/>
        </w:rPr>
        <w:t>e</w:t>
      </w:r>
      <w:r w:rsidR="002D23F5" w:rsidRPr="00B94E33">
        <w:rPr>
          <w:lang w:val="fr-FR"/>
        </w:rPr>
        <w:t xml:space="preserve"> avec un couteau</w:t>
      </w:r>
      <w:r w:rsidR="00F06221" w:rsidRPr="00B94E33">
        <w:rPr>
          <w:lang w:val="fr-FR"/>
        </w:rPr>
        <w:t>,</w:t>
      </w:r>
      <w:r w:rsidR="002D23F5" w:rsidRPr="00B94E33">
        <w:rPr>
          <w:lang w:val="fr-FR"/>
        </w:rPr>
        <w:t xml:space="preserve"> cette circonstanc</w:t>
      </w:r>
      <w:r w:rsidR="0040017B" w:rsidRPr="00B94E33">
        <w:rPr>
          <w:lang w:val="fr-FR"/>
        </w:rPr>
        <w:t>e</w:t>
      </w:r>
      <w:r w:rsidR="007D5CEE" w:rsidRPr="00B94E33">
        <w:rPr>
          <w:lang w:val="fr-FR"/>
        </w:rPr>
        <w:t xml:space="preserve"> </w:t>
      </w:r>
      <w:r w:rsidR="002D23F5" w:rsidRPr="00B94E33">
        <w:rPr>
          <w:lang w:val="fr-FR"/>
        </w:rPr>
        <w:t>n</w:t>
      </w:r>
      <w:r w:rsidR="00B94E33" w:rsidRPr="00B94E33">
        <w:rPr>
          <w:lang w:val="fr-FR"/>
        </w:rPr>
        <w:t>’</w:t>
      </w:r>
      <w:r w:rsidR="002D23F5" w:rsidRPr="00B94E33">
        <w:rPr>
          <w:lang w:val="fr-FR"/>
        </w:rPr>
        <w:t xml:space="preserve">a pas été prise au </w:t>
      </w:r>
      <w:r w:rsidRPr="00B94E33">
        <w:rPr>
          <w:lang w:val="fr-FR"/>
        </w:rPr>
        <w:t>sérieux</w:t>
      </w:r>
      <w:r w:rsidR="002D23F5" w:rsidRPr="00B94E33">
        <w:rPr>
          <w:lang w:val="fr-FR"/>
        </w:rPr>
        <w:t>.</w:t>
      </w:r>
    </w:p>
    <w:p w:rsidR="009A4363" w:rsidRPr="00B94E33" w:rsidRDefault="009D405D"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82</w:t>
      </w:r>
      <w:r w:rsidRPr="00B94E33">
        <w:rPr>
          <w:lang w:val="fr-FR"/>
        </w:rPr>
        <w:fldChar w:fldCharType="end"/>
      </w:r>
      <w:r w:rsidRPr="00B94E33">
        <w:rPr>
          <w:lang w:val="fr-FR"/>
        </w:rPr>
        <w:t>.  </w:t>
      </w:r>
      <w:r w:rsidR="001F521B" w:rsidRPr="00B94E33">
        <w:rPr>
          <w:lang w:val="fr-FR"/>
        </w:rPr>
        <w:t>Aux yeux de la requérante, l</w:t>
      </w:r>
      <w:r w:rsidR="002D23F5" w:rsidRPr="00B94E33">
        <w:rPr>
          <w:lang w:val="fr-FR"/>
        </w:rPr>
        <w:t xml:space="preserve">e seul </w:t>
      </w:r>
      <w:r w:rsidRPr="00B94E33">
        <w:rPr>
          <w:lang w:val="fr-FR"/>
        </w:rPr>
        <w:t>remède</w:t>
      </w:r>
      <w:r w:rsidR="002D23F5" w:rsidRPr="00B94E33">
        <w:rPr>
          <w:lang w:val="fr-FR"/>
        </w:rPr>
        <w:t xml:space="preserve"> </w:t>
      </w:r>
      <w:r w:rsidRPr="00B94E33">
        <w:rPr>
          <w:lang w:val="fr-FR"/>
        </w:rPr>
        <w:t>disponible était la plainte</w:t>
      </w:r>
      <w:r w:rsidR="002D23F5" w:rsidRPr="00B94E33">
        <w:rPr>
          <w:lang w:val="fr-FR"/>
        </w:rPr>
        <w:t xml:space="preserve"> </w:t>
      </w:r>
      <w:r w:rsidRPr="00B94E33">
        <w:rPr>
          <w:lang w:val="fr-FR"/>
        </w:rPr>
        <w:t>pénale</w:t>
      </w:r>
      <w:r w:rsidR="00F06221" w:rsidRPr="00B94E33">
        <w:rPr>
          <w:lang w:val="fr-FR"/>
        </w:rPr>
        <w:t xml:space="preserve"> et il</w:t>
      </w:r>
      <w:r w:rsidR="002D23F5" w:rsidRPr="00B94E33">
        <w:rPr>
          <w:lang w:val="fr-FR"/>
        </w:rPr>
        <w:t xml:space="preserve"> n</w:t>
      </w:r>
      <w:r w:rsidR="00B94E33" w:rsidRPr="00B94E33">
        <w:rPr>
          <w:lang w:val="fr-FR"/>
        </w:rPr>
        <w:t>’</w:t>
      </w:r>
      <w:r w:rsidR="002D23F5" w:rsidRPr="00B94E33">
        <w:rPr>
          <w:lang w:val="fr-FR"/>
        </w:rPr>
        <w:t xml:space="preserve">a pas été effectif. </w:t>
      </w:r>
      <w:r w:rsidR="00F06221" w:rsidRPr="00B94E33">
        <w:rPr>
          <w:lang w:val="fr-FR"/>
        </w:rPr>
        <w:t>La requérante indique</w:t>
      </w:r>
      <w:r w:rsidR="001F521B" w:rsidRPr="00B94E33">
        <w:rPr>
          <w:lang w:val="fr-FR"/>
        </w:rPr>
        <w:t xml:space="preserve"> </w:t>
      </w:r>
      <w:r w:rsidR="002D23F5" w:rsidRPr="00B94E33">
        <w:rPr>
          <w:lang w:val="fr-FR"/>
        </w:rPr>
        <w:t>a</w:t>
      </w:r>
      <w:r w:rsidRPr="00B94E33">
        <w:rPr>
          <w:lang w:val="fr-FR"/>
        </w:rPr>
        <w:t>voir</w:t>
      </w:r>
      <w:r w:rsidR="002D23F5" w:rsidRPr="00B94E33">
        <w:rPr>
          <w:lang w:val="fr-FR"/>
        </w:rPr>
        <w:t xml:space="preserve"> </w:t>
      </w:r>
      <w:r w:rsidR="001F521B" w:rsidRPr="00B94E33">
        <w:rPr>
          <w:lang w:val="fr-FR"/>
        </w:rPr>
        <w:t>porté</w:t>
      </w:r>
      <w:r w:rsidRPr="00B94E33">
        <w:rPr>
          <w:lang w:val="fr-FR"/>
        </w:rPr>
        <w:t xml:space="preserve"> </w:t>
      </w:r>
      <w:r w:rsidR="00F749B7" w:rsidRPr="00B94E33">
        <w:rPr>
          <w:lang w:val="fr-FR"/>
        </w:rPr>
        <w:t>plainte le 5 </w:t>
      </w:r>
      <w:r w:rsidR="002D23F5" w:rsidRPr="00B94E33">
        <w:rPr>
          <w:lang w:val="fr-FR"/>
        </w:rPr>
        <w:t xml:space="preserve">septembre 2012 et </w:t>
      </w:r>
      <w:r w:rsidRPr="00B94E33">
        <w:rPr>
          <w:lang w:val="fr-FR"/>
        </w:rPr>
        <w:t>avoir</w:t>
      </w:r>
      <w:r w:rsidR="002D23F5" w:rsidRPr="00B94E33">
        <w:rPr>
          <w:lang w:val="fr-FR"/>
        </w:rPr>
        <w:t xml:space="preserve"> été entendue en avril 2013.</w:t>
      </w:r>
      <w:r w:rsidRPr="00B94E33">
        <w:rPr>
          <w:lang w:val="fr-FR"/>
        </w:rPr>
        <w:t xml:space="preserve"> </w:t>
      </w:r>
      <w:r w:rsidR="001F521B" w:rsidRPr="00B94E33">
        <w:rPr>
          <w:lang w:val="fr-FR"/>
        </w:rPr>
        <w:t>Elle ajoute que, p</w:t>
      </w:r>
      <w:r w:rsidRPr="00B94E33">
        <w:rPr>
          <w:lang w:val="fr-FR"/>
        </w:rPr>
        <w:t xml:space="preserve">endant </w:t>
      </w:r>
      <w:r w:rsidR="001F521B" w:rsidRPr="00B94E33">
        <w:rPr>
          <w:lang w:val="fr-FR"/>
        </w:rPr>
        <w:t xml:space="preserve">les </w:t>
      </w:r>
      <w:r w:rsidRPr="00B94E33">
        <w:rPr>
          <w:lang w:val="fr-FR"/>
        </w:rPr>
        <w:t xml:space="preserve">sept mois </w:t>
      </w:r>
      <w:r w:rsidR="001F521B" w:rsidRPr="00B94E33">
        <w:rPr>
          <w:lang w:val="fr-FR"/>
        </w:rPr>
        <w:t xml:space="preserve">qui ont séparé le dépôt de la plainte de son audition, </w:t>
      </w:r>
      <w:r w:rsidRPr="00B94E33">
        <w:rPr>
          <w:lang w:val="fr-FR"/>
        </w:rPr>
        <w:t>aucun acte d</w:t>
      </w:r>
      <w:r w:rsidR="00B94E33" w:rsidRPr="00B94E33">
        <w:rPr>
          <w:lang w:val="fr-FR"/>
        </w:rPr>
        <w:t>’</w:t>
      </w:r>
      <w:r w:rsidRPr="00B94E33">
        <w:rPr>
          <w:lang w:val="fr-FR"/>
        </w:rPr>
        <w:t>enquête n</w:t>
      </w:r>
      <w:r w:rsidR="00B94E33" w:rsidRPr="00B94E33">
        <w:rPr>
          <w:lang w:val="fr-FR"/>
        </w:rPr>
        <w:t>’</w:t>
      </w:r>
      <w:r w:rsidRPr="00B94E33">
        <w:rPr>
          <w:lang w:val="fr-FR"/>
        </w:rPr>
        <w:t>a été mené</w:t>
      </w:r>
      <w:r w:rsidR="001F521B" w:rsidRPr="00B94E33">
        <w:rPr>
          <w:lang w:val="fr-FR"/>
        </w:rPr>
        <w:t xml:space="preserve"> et</w:t>
      </w:r>
      <w:r w:rsidRPr="00B94E33">
        <w:rPr>
          <w:lang w:val="fr-FR"/>
        </w:rPr>
        <w:t xml:space="preserve"> aucun témoin n</w:t>
      </w:r>
      <w:r w:rsidR="00B94E33" w:rsidRPr="00B94E33">
        <w:rPr>
          <w:lang w:val="fr-FR"/>
        </w:rPr>
        <w:t>’</w:t>
      </w:r>
      <w:r w:rsidRPr="00B94E33">
        <w:rPr>
          <w:lang w:val="fr-FR"/>
        </w:rPr>
        <w:t xml:space="preserve">a été entendu. </w:t>
      </w:r>
      <w:r w:rsidR="00F749B7" w:rsidRPr="00B94E33">
        <w:rPr>
          <w:lang w:val="fr-FR"/>
        </w:rPr>
        <w:t>En</w:t>
      </w:r>
      <w:r w:rsidRPr="00B94E33">
        <w:rPr>
          <w:lang w:val="fr-FR"/>
        </w:rPr>
        <w:t xml:space="preserve"> mars 2013, le procureur a dû </w:t>
      </w:r>
      <w:r w:rsidR="001F521B" w:rsidRPr="00B94E33">
        <w:rPr>
          <w:lang w:val="fr-FR"/>
        </w:rPr>
        <w:t xml:space="preserve">à nouveau </w:t>
      </w:r>
      <w:r w:rsidRPr="00B94E33">
        <w:rPr>
          <w:lang w:val="fr-FR"/>
        </w:rPr>
        <w:t>solliciter la police afin que l</w:t>
      </w:r>
      <w:r w:rsidR="00B94E33" w:rsidRPr="00B94E33">
        <w:rPr>
          <w:lang w:val="fr-FR"/>
        </w:rPr>
        <w:t>’</w:t>
      </w:r>
      <w:r w:rsidRPr="00B94E33">
        <w:rPr>
          <w:lang w:val="fr-FR"/>
        </w:rPr>
        <w:t xml:space="preserve">enquête </w:t>
      </w:r>
      <w:r w:rsidR="00F06221" w:rsidRPr="00B94E33">
        <w:rPr>
          <w:lang w:val="fr-FR"/>
        </w:rPr>
        <w:t xml:space="preserve">fût </w:t>
      </w:r>
      <w:r w:rsidRPr="00B94E33">
        <w:rPr>
          <w:lang w:val="fr-FR"/>
        </w:rPr>
        <w:t xml:space="preserve">menée (paragraphe </w:t>
      </w:r>
      <w:r w:rsidRPr="00B94E33">
        <w:fldChar w:fldCharType="begin"/>
      </w:r>
      <w:r w:rsidRPr="00B94E33">
        <w:rPr>
          <w:lang w:val="fr-FR"/>
        </w:rPr>
        <w:instrText xml:space="preserve"> REF para30 \h  \* MERGEFORMAT </w:instrText>
      </w:r>
      <w:r w:rsidRPr="00B94E33">
        <w:fldChar w:fldCharType="separate"/>
      </w:r>
      <w:r w:rsidR="00B94E33" w:rsidRPr="00B94E33">
        <w:rPr>
          <w:lang w:val="fr-FR"/>
        </w:rPr>
        <w:t>29</w:t>
      </w:r>
      <w:r w:rsidRPr="00B94E33">
        <w:fldChar w:fldCharType="end"/>
      </w:r>
      <w:r w:rsidRPr="00B94E33">
        <w:rPr>
          <w:lang w:val="fr-FR"/>
        </w:rPr>
        <w:t xml:space="preserve"> ci-dessus).</w:t>
      </w:r>
    </w:p>
    <w:p w:rsidR="00292DDB" w:rsidRPr="00B94E33" w:rsidRDefault="00292DDB"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83</w:t>
      </w:r>
      <w:r w:rsidRPr="00B94E33">
        <w:rPr>
          <w:lang w:val="fr-FR"/>
        </w:rPr>
        <w:fldChar w:fldCharType="end"/>
      </w:r>
      <w:r w:rsidRPr="00B94E33">
        <w:rPr>
          <w:lang w:val="fr-FR"/>
        </w:rPr>
        <w:t>.  </w:t>
      </w:r>
      <w:r w:rsidR="00F749B7" w:rsidRPr="00B94E33">
        <w:rPr>
          <w:lang w:val="fr-FR"/>
        </w:rPr>
        <w:t>La requérante</w:t>
      </w:r>
      <w:r w:rsidRPr="00B94E33">
        <w:rPr>
          <w:lang w:val="fr-FR"/>
        </w:rPr>
        <w:t xml:space="preserve"> dénonce l</w:t>
      </w:r>
      <w:r w:rsidR="00B94E33" w:rsidRPr="00B94E33">
        <w:rPr>
          <w:lang w:val="fr-FR"/>
        </w:rPr>
        <w:t>’</w:t>
      </w:r>
      <w:r w:rsidRPr="00B94E33">
        <w:rPr>
          <w:lang w:val="fr-FR"/>
        </w:rPr>
        <w:t>inertie des autorités et indique avoir changé sa version des faits une fois interrogée par la police</w:t>
      </w:r>
      <w:r w:rsidRPr="00B94E33" w:rsidDel="00B700FE">
        <w:rPr>
          <w:lang w:val="fr-FR"/>
        </w:rPr>
        <w:t xml:space="preserve"> </w:t>
      </w:r>
      <w:r w:rsidRPr="00B94E33">
        <w:rPr>
          <w:lang w:val="fr-FR"/>
        </w:rPr>
        <w:t>sept mois après le dépôt de sa plainte. Selon la requérante, il est évident que l</w:t>
      </w:r>
      <w:r w:rsidR="00B94E33" w:rsidRPr="00B94E33">
        <w:rPr>
          <w:lang w:val="fr-FR"/>
        </w:rPr>
        <w:t>’</w:t>
      </w:r>
      <w:r w:rsidRPr="00B94E33">
        <w:rPr>
          <w:lang w:val="fr-FR"/>
        </w:rPr>
        <w:t>État ne l</w:t>
      </w:r>
      <w:r w:rsidR="00B94E33" w:rsidRPr="00B94E33">
        <w:rPr>
          <w:lang w:val="fr-FR"/>
        </w:rPr>
        <w:t>’</w:t>
      </w:r>
      <w:r w:rsidRPr="00B94E33">
        <w:rPr>
          <w:lang w:val="fr-FR"/>
        </w:rPr>
        <w:t>a pas protégée et qu</w:t>
      </w:r>
      <w:r w:rsidR="00B94E33" w:rsidRPr="00B94E33">
        <w:rPr>
          <w:lang w:val="fr-FR"/>
        </w:rPr>
        <w:t>’</w:t>
      </w:r>
      <w:r w:rsidRPr="00B94E33">
        <w:rPr>
          <w:lang w:val="fr-FR"/>
        </w:rPr>
        <w:t>elle a été abandonnée par les autorités, qui n</w:t>
      </w:r>
      <w:r w:rsidR="00B94E33" w:rsidRPr="00B94E33">
        <w:rPr>
          <w:lang w:val="fr-FR"/>
        </w:rPr>
        <w:t>’</w:t>
      </w:r>
      <w:r w:rsidRPr="00B94E33">
        <w:rPr>
          <w:lang w:val="fr-FR"/>
        </w:rPr>
        <w:t>auraient pas pris de mesures de protection à son égard malgré sa demande en ce sens. La requérante indique en outre que la municipalité de Udine, tout en connaissant la situation difficile dans laquelle elle se trouvait, lui avait refusé son aide en mettant un terme au financement de son séjour au sein du centre géré par l</w:t>
      </w:r>
      <w:r w:rsidR="00B94E33" w:rsidRPr="00B94E33">
        <w:rPr>
          <w:lang w:val="fr-FR"/>
        </w:rPr>
        <w:t>’</w:t>
      </w:r>
      <w:r w:rsidRPr="00B94E33">
        <w:rPr>
          <w:lang w:val="fr-FR"/>
        </w:rPr>
        <w:t>association de protection des femmes victimes de violences. Elle est d</w:t>
      </w:r>
      <w:r w:rsidR="00B94E33" w:rsidRPr="00B94E33">
        <w:rPr>
          <w:lang w:val="fr-FR"/>
        </w:rPr>
        <w:t>’</w:t>
      </w:r>
      <w:r w:rsidRPr="00B94E33">
        <w:rPr>
          <w:lang w:val="fr-FR"/>
        </w:rPr>
        <w:t>avis que les autorités auraient dû intervenir d</w:t>
      </w:r>
      <w:r w:rsidR="00B94E33" w:rsidRPr="00B94E33">
        <w:rPr>
          <w:lang w:val="fr-FR"/>
        </w:rPr>
        <w:t>’</w:t>
      </w:r>
      <w:r w:rsidRPr="00B94E33">
        <w:rPr>
          <w:lang w:val="fr-FR"/>
        </w:rPr>
        <w:t>office compte tenu des circonstances de l</w:t>
      </w:r>
      <w:r w:rsidR="00B94E33" w:rsidRPr="00B94E33">
        <w:rPr>
          <w:lang w:val="fr-FR"/>
        </w:rPr>
        <w:t>’</w:t>
      </w:r>
      <w:r w:rsidRPr="00B94E33">
        <w:rPr>
          <w:lang w:val="fr-FR"/>
        </w:rPr>
        <w:t>espèce et de sa vulnérabilité.</w:t>
      </w:r>
    </w:p>
    <w:p w:rsidR="002D23F5" w:rsidRPr="00B94E33" w:rsidRDefault="009D405D"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84</w:t>
      </w:r>
      <w:r w:rsidRPr="00B94E33">
        <w:rPr>
          <w:lang w:val="fr-FR"/>
        </w:rPr>
        <w:fldChar w:fldCharType="end"/>
      </w:r>
      <w:r w:rsidRPr="00B94E33">
        <w:rPr>
          <w:lang w:val="fr-FR"/>
        </w:rPr>
        <w:t>.  </w:t>
      </w:r>
      <w:r w:rsidR="00292DDB" w:rsidRPr="00B94E33">
        <w:rPr>
          <w:lang w:val="fr-FR"/>
        </w:rPr>
        <w:t>La</w:t>
      </w:r>
      <w:r w:rsidR="002D23F5" w:rsidRPr="00B94E33">
        <w:rPr>
          <w:lang w:val="fr-FR"/>
        </w:rPr>
        <w:t xml:space="preserve"> </w:t>
      </w:r>
      <w:r w:rsidRPr="00B94E33">
        <w:rPr>
          <w:lang w:val="fr-FR"/>
        </w:rPr>
        <w:t>requérante</w:t>
      </w:r>
      <w:r w:rsidR="002D23F5" w:rsidRPr="00B94E33">
        <w:rPr>
          <w:lang w:val="fr-FR"/>
        </w:rPr>
        <w:t xml:space="preserve"> </w:t>
      </w:r>
      <w:r w:rsidR="001F521B" w:rsidRPr="00B94E33">
        <w:rPr>
          <w:lang w:val="fr-FR"/>
        </w:rPr>
        <w:t xml:space="preserve">argue </w:t>
      </w:r>
      <w:r w:rsidRPr="00B94E33">
        <w:rPr>
          <w:lang w:val="fr-FR"/>
        </w:rPr>
        <w:t xml:space="preserve">que, selon </w:t>
      </w:r>
      <w:r w:rsidR="002D23F5" w:rsidRPr="00B94E33">
        <w:rPr>
          <w:lang w:val="fr-FR"/>
        </w:rPr>
        <w:t>la jurisprudence de la Cour</w:t>
      </w:r>
      <w:r w:rsidRPr="00B94E33">
        <w:rPr>
          <w:lang w:val="fr-FR"/>
        </w:rPr>
        <w:t>,</w:t>
      </w:r>
      <w:r w:rsidR="002D23F5" w:rsidRPr="00B94E33">
        <w:rPr>
          <w:lang w:val="fr-FR"/>
        </w:rPr>
        <w:t xml:space="preserve"> </w:t>
      </w:r>
      <w:r w:rsidRPr="00B94E33">
        <w:rPr>
          <w:lang w:val="fr-FR"/>
        </w:rPr>
        <w:t>l</w:t>
      </w:r>
      <w:r w:rsidR="007D5CEE" w:rsidRPr="00B94E33">
        <w:rPr>
          <w:lang w:val="fr-FR"/>
        </w:rPr>
        <w:t xml:space="preserve">es </w:t>
      </w:r>
      <w:r w:rsidR="002D23F5" w:rsidRPr="00B94E33">
        <w:rPr>
          <w:lang w:val="fr-FR"/>
        </w:rPr>
        <w:t>obligation</w:t>
      </w:r>
      <w:r w:rsidR="007D5CEE" w:rsidRPr="00B94E33">
        <w:rPr>
          <w:lang w:val="fr-FR"/>
        </w:rPr>
        <w:t>s</w:t>
      </w:r>
      <w:r w:rsidR="002D23F5" w:rsidRPr="00B94E33">
        <w:rPr>
          <w:lang w:val="fr-FR"/>
        </w:rPr>
        <w:t xml:space="preserve"> </w:t>
      </w:r>
      <w:r w:rsidR="00D61FBF" w:rsidRPr="00B94E33">
        <w:rPr>
          <w:lang w:val="fr-FR"/>
        </w:rPr>
        <w:t>positive</w:t>
      </w:r>
      <w:r w:rsidR="007D5CEE" w:rsidRPr="00B94E33">
        <w:rPr>
          <w:lang w:val="fr-FR"/>
        </w:rPr>
        <w:t>s</w:t>
      </w:r>
      <w:r w:rsidR="00D61FBF" w:rsidRPr="00B94E33">
        <w:rPr>
          <w:lang w:val="fr-FR"/>
        </w:rPr>
        <w:t xml:space="preserve"> découlant de l</w:t>
      </w:r>
      <w:r w:rsidR="00B94E33" w:rsidRPr="00B94E33">
        <w:rPr>
          <w:lang w:val="fr-FR"/>
        </w:rPr>
        <w:t>’</w:t>
      </w:r>
      <w:r w:rsidR="00D61FBF" w:rsidRPr="00B94E33">
        <w:rPr>
          <w:lang w:val="fr-FR"/>
        </w:rPr>
        <w:t>article 2 de la Convention</w:t>
      </w:r>
      <w:r w:rsidR="002D23F5" w:rsidRPr="00B94E33">
        <w:rPr>
          <w:lang w:val="fr-FR"/>
        </w:rPr>
        <w:t xml:space="preserve"> implique</w:t>
      </w:r>
      <w:r w:rsidR="007D5CEE" w:rsidRPr="00B94E33">
        <w:rPr>
          <w:lang w:val="fr-FR"/>
        </w:rPr>
        <w:t>nt</w:t>
      </w:r>
      <w:r w:rsidR="002D23F5" w:rsidRPr="00B94E33">
        <w:rPr>
          <w:lang w:val="fr-FR"/>
        </w:rPr>
        <w:t xml:space="preserve"> </w:t>
      </w:r>
      <w:r w:rsidR="003460FA" w:rsidRPr="00B94E33">
        <w:rPr>
          <w:lang w:val="fr-FR"/>
        </w:rPr>
        <w:t>pour l</w:t>
      </w:r>
      <w:r w:rsidR="00B94E33" w:rsidRPr="00B94E33">
        <w:rPr>
          <w:lang w:val="fr-FR"/>
        </w:rPr>
        <w:t>’</w:t>
      </w:r>
      <w:r w:rsidR="003460FA" w:rsidRPr="00B94E33">
        <w:rPr>
          <w:lang w:val="fr-FR"/>
        </w:rPr>
        <w:t xml:space="preserve">État </w:t>
      </w:r>
      <w:r w:rsidR="002D23F5" w:rsidRPr="00B94E33">
        <w:rPr>
          <w:lang w:val="fr-FR"/>
        </w:rPr>
        <w:t>le devoir primordial d</w:t>
      </w:r>
      <w:r w:rsidR="00B94E33" w:rsidRPr="00B94E33">
        <w:rPr>
          <w:lang w:val="fr-FR"/>
        </w:rPr>
        <w:t>’</w:t>
      </w:r>
      <w:r w:rsidR="002D23F5" w:rsidRPr="00B94E33">
        <w:rPr>
          <w:lang w:val="fr-FR"/>
        </w:rPr>
        <w:t xml:space="preserve">assurer le droit à la vie </w:t>
      </w:r>
      <w:r w:rsidR="00F06221" w:rsidRPr="00B94E33">
        <w:rPr>
          <w:lang w:val="fr-FR"/>
        </w:rPr>
        <w:t>par la mise</w:t>
      </w:r>
      <w:r w:rsidR="002D23F5" w:rsidRPr="00B94E33">
        <w:rPr>
          <w:lang w:val="fr-FR"/>
        </w:rPr>
        <w:t xml:space="preserve"> en place </w:t>
      </w:r>
      <w:r w:rsidR="00F06221" w:rsidRPr="00B94E33">
        <w:rPr>
          <w:lang w:val="fr-FR"/>
        </w:rPr>
        <w:t>d</w:t>
      </w:r>
      <w:r w:rsidR="00B94E33" w:rsidRPr="00B94E33">
        <w:rPr>
          <w:lang w:val="fr-FR"/>
        </w:rPr>
        <w:t>’</w:t>
      </w:r>
      <w:r w:rsidR="002D23F5" w:rsidRPr="00B94E33">
        <w:rPr>
          <w:lang w:val="fr-FR"/>
        </w:rPr>
        <w:t>une législation pénale concrète dissuadant de commettre des atteintes contre la personne et s</w:t>
      </w:r>
      <w:r w:rsidR="00B94E33" w:rsidRPr="00B94E33">
        <w:rPr>
          <w:lang w:val="fr-FR"/>
        </w:rPr>
        <w:t>’</w:t>
      </w:r>
      <w:r w:rsidR="002D23F5" w:rsidRPr="00B94E33">
        <w:rPr>
          <w:lang w:val="fr-FR"/>
        </w:rPr>
        <w:t>appuyant sur un mécanisme d</w:t>
      </w:r>
      <w:r w:rsidR="00B94E33" w:rsidRPr="00B94E33">
        <w:rPr>
          <w:lang w:val="fr-FR"/>
        </w:rPr>
        <w:t>’</w:t>
      </w:r>
      <w:r w:rsidR="002D23F5" w:rsidRPr="00B94E33">
        <w:rPr>
          <w:lang w:val="fr-FR"/>
        </w:rPr>
        <w:t xml:space="preserve">application conçu pour en prévenir, réprimer et sanctionner les violations. </w:t>
      </w:r>
      <w:r w:rsidR="00FD3B1A" w:rsidRPr="00B94E33">
        <w:rPr>
          <w:lang w:val="fr-FR"/>
        </w:rPr>
        <w:t>Elle estime que c</w:t>
      </w:r>
      <w:r w:rsidR="002D23F5" w:rsidRPr="00B94E33">
        <w:rPr>
          <w:lang w:val="fr-FR"/>
        </w:rPr>
        <w:t>ela peut aussi vouloir dire, dans certaines circonstances, mettre à la charge des autorités l</w:t>
      </w:r>
      <w:r w:rsidR="00B94E33" w:rsidRPr="00B94E33">
        <w:rPr>
          <w:lang w:val="fr-FR"/>
        </w:rPr>
        <w:t>’</w:t>
      </w:r>
      <w:r w:rsidR="002D23F5" w:rsidRPr="00B94E33">
        <w:rPr>
          <w:lang w:val="fr-FR"/>
        </w:rPr>
        <w:t>obligation positive de prendre préventivement des mesures d</w:t>
      </w:r>
      <w:r w:rsidR="00B94E33" w:rsidRPr="00B94E33">
        <w:rPr>
          <w:lang w:val="fr-FR"/>
        </w:rPr>
        <w:t>’</w:t>
      </w:r>
      <w:r w:rsidR="002D23F5" w:rsidRPr="00B94E33">
        <w:rPr>
          <w:lang w:val="fr-FR"/>
        </w:rPr>
        <w:t>ordre pratique pour protéger l</w:t>
      </w:r>
      <w:r w:rsidR="00B94E33" w:rsidRPr="00B94E33">
        <w:rPr>
          <w:lang w:val="fr-FR"/>
        </w:rPr>
        <w:t>’</w:t>
      </w:r>
      <w:r w:rsidR="002D23F5" w:rsidRPr="00B94E33">
        <w:rPr>
          <w:lang w:val="fr-FR"/>
        </w:rPr>
        <w:t>individu dont la vie est menacée par les agissements criminels d</w:t>
      </w:r>
      <w:r w:rsidR="00B94E33" w:rsidRPr="00B94E33">
        <w:rPr>
          <w:lang w:val="fr-FR"/>
        </w:rPr>
        <w:t>’</w:t>
      </w:r>
      <w:r w:rsidR="002D23F5" w:rsidRPr="00B94E33">
        <w:rPr>
          <w:lang w:val="fr-FR"/>
        </w:rPr>
        <w:t>autrui (</w:t>
      </w:r>
      <w:r w:rsidR="002D23F5" w:rsidRPr="00B94E33">
        <w:rPr>
          <w:i/>
          <w:lang w:val="fr-FR"/>
        </w:rPr>
        <w:t>Osman c.</w:t>
      </w:r>
      <w:r w:rsidR="001F521B" w:rsidRPr="00B94E33">
        <w:rPr>
          <w:i/>
          <w:lang w:val="fr-FR"/>
        </w:rPr>
        <w:t> </w:t>
      </w:r>
      <w:r w:rsidR="002D23F5" w:rsidRPr="00B94E33">
        <w:rPr>
          <w:i/>
          <w:lang w:val="fr-FR"/>
        </w:rPr>
        <w:t>Royaume-Uni</w:t>
      </w:r>
      <w:r w:rsidR="002D23F5" w:rsidRPr="00B94E33">
        <w:rPr>
          <w:lang w:val="fr-FR"/>
        </w:rPr>
        <w:t>, 28</w:t>
      </w:r>
      <w:r w:rsidR="004B08DB" w:rsidRPr="00B94E33">
        <w:rPr>
          <w:lang w:val="fr-FR"/>
        </w:rPr>
        <w:t> </w:t>
      </w:r>
      <w:r w:rsidR="009A4363" w:rsidRPr="00B94E33">
        <w:rPr>
          <w:lang w:val="fr-FR"/>
        </w:rPr>
        <w:t>octobre 1998, § </w:t>
      </w:r>
      <w:r w:rsidR="002D23F5" w:rsidRPr="00B94E33">
        <w:rPr>
          <w:lang w:val="fr-FR"/>
        </w:rPr>
        <w:t xml:space="preserve">115, </w:t>
      </w:r>
      <w:r w:rsidR="002D23F5" w:rsidRPr="00B94E33">
        <w:rPr>
          <w:i/>
          <w:lang w:val="fr-FR"/>
        </w:rPr>
        <w:t xml:space="preserve">Recueil </w:t>
      </w:r>
      <w:r w:rsidR="001F521B" w:rsidRPr="00B94E33">
        <w:rPr>
          <w:i/>
          <w:lang w:val="fr-FR"/>
        </w:rPr>
        <w:t>des arrêts et décisions</w:t>
      </w:r>
      <w:r w:rsidR="00FD3B1A" w:rsidRPr="00B94E33">
        <w:rPr>
          <w:lang w:val="fr-FR"/>
        </w:rPr>
        <w:t xml:space="preserve"> </w:t>
      </w:r>
      <w:r w:rsidR="002D23F5" w:rsidRPr="00B94E33">
        <w:rPr>
          <w:lang w:val="fr-FR"/>
        </w:rPr>
        <w:t xml:space="preserve">1998-VIII, cité dans </w:t>
      </w:r>
      <w:r w:rsidR="002D23F5" w:rsidRPr="00B94E33">
        <w:rPr>
          <w:i/>
          <w:lang w:val="fr-FR"/>
        </w:rPr>
        <w:t>Kontrová c.</w:t>
      </w:r>
      <w:r w:rsidR="004B08DB" w:rsidRPr="00B94E33">
        <w:rPr>
          <w:i/>
          <w:lang w:val="fr-FR"/>
        </w:rPr>
        <w:t> </w:t>
      </w:r>
      <w:r w:rsidR="002D23F5" w:rsidRPr="00B94E33">
        <w:rPr>
          <w:i/>
          <w:lang w:val="fr-FR"/>
        </w:rPr>
        <w:t>Slovaquie</w:t>
      </w:r>
      <w:r w:rsidR="002D23F5" w:rsidRPr="00B94E33">
        <w:rPr>
          <w:lang w:val="fr-FR"/>
        </w:rPr>
        <w:t>, n</w:t>
      </w:r>
      <w:r w:rsidR="002D23F5" w:rsidRPr="00B94E33">
        <w:rPr>
          <w:vertAlign w:val="superscript"/>
          <w:lang w:val="fr-FR"/>
        </w:rPr>
        <w:t>o</w:t>
      </w:r>
      <w:r w:rsidR="002D23F5" w:rsidRPr="00B94E33">
        <w:rPr>
          <w:lang w:val="fr-FR"/>
        </w:rPr>
        <w:t xml:space="preserve"> </w:t>
      </w:r>
      <w:hyperlink r:id="rId21" w:anchor="{&quot;appno&quot;:[&quot;7510/04&quot;]}" w:tgtFrame="_blank" w:history="1">
        <w:r w:rsidR="002D23F5" w:rsidRPr="00B94E33">
          <w:rPr>
            <w:rStyle w:val="Collegamentoipertestuale"/>
            <w:color w:val="auto"/>
            <w:u w:val="none"/>
            <w:lang w:val="fr-FR"/>
          </w:rPr>
          <w:t>7510/04</w:t>
        </w:r>
      </w:hyperlink>
      <w:r w:rsidR="005A5765" w:rsidRPr="00B94E33">
        <w:rPr>
          <w:lang w:val="fr-FR"/>
        </w:rPr>
        <w:t>, § 49, 31 mai 2007)</w:t>
      </w:r>
      <w:r w:rsidR="00FD3B1A" w:rsidRPr="00B94E33">
        <w:rPr>
          <w:lang w:val="fr-FR"/>
        </w:rPr>
        <w:t xml:space="preserve">. </w:t>
      </w:r>
      <w:r w:rsidR="00CA627F" w:rsidRPr="00B94E33">
        <w:rPr>
          <w:lang w:val="fr-FR"/>
        </w:rPr>
        <w:t>Elle</w:t>
      </w:r>
      <w:r w:rsidR="00FD3B1A" w:rsidRPr="00B94E33">
        <w:rPr>
          <w:lang w:val="fr-FR"/>
        </w:rPr>
        <w:t xml:space="preserve"> conclut</w:t>
      </w:r>
      <w:r w:rsidR="005A5765" w:rsidRPr="00B94E33">
        <w:rPr>
          <w:lang w:val="fr-FR"/>
        </w:rPr>
        <w:t xml:space="preserve"> que</w:t>
      </w:r>
      <w:r w:rsidR="00FD3B1A" w:rsidRPr="00B94E33">
        <w:rPr>
          <w:lang w:val="fr-FR"/>
        </w:rPr>
        <w:t>,</w:t>
      </w:r>
      <w:r w:rsidR="005A5765" w:rsidRPr="00B94E33">
        <w:rPr>
          <w:lang w:val="fr-FR"/>
        </w:rPr>
        <w:t xml:space="preserve"> </w:t>
      </w:r>
      <w:r w:rsidR="00FD3B1A" w:rsidRPr="00B94E33">
        <w:rPr>
          <w:lang w:val="fr-FR"/>
        </w:rPr>
        <w:t>en l</w:t>
      </w:r>
      <w:r w:rsidR="00B94E33" w:rsidRPr="00B94E33">
        <w:rPr>
          <w:lang w:val="fr-FR"/>
        </w:rPr>
        <w:t>’</w:t>
      </w:r>
      <w:r w:rsidR="005A5765" w:rsidRPr="00B94E33">
        <w:rPr>
          <w:lang w:val="fr-FR"/>
        </w:rPr>
        <w:t>espèce</w:t>
      </w:r>
      <w:r w:rsidR="00FD3B1A" w:rsidRPr="00B94E33">
        <w:rPr>
          <w:lang w:val="fr-FR"/>
        </w:rPr>
        <w:t>,</w:t>
      </w:r>
      <w:r w:rsidR="005A5765" w:rsidRPr="00B94E33">
        <w:rPr>
          <w:lang w:val="fr-FR"/>
        </w:rPr>
        <w:t xml:space="preserve"> l</w:t>
      </w:r>
      <w:r w:rsidR="00B94E33" w:rsidRPr="00B94E33">
        <w:rPr>
          <w:lang w:val="fr-FR"/>
        </w:rPr>
        <w:t>’</w:t>
      </w:r>
      <w:r w:rsidR="00FD3B1A" w:rsidRPr="00B94E33">
        <w:rPr>
          <w:lang w:val="fr-FR"/>
        </w:rPr>
        <w:t>É</w:t>
      </w:r>
      <w:r w:rsidR="005A5765" w:rsidRPr="00B94E33">
        <w:rPr>
          <w:lang w:val="fr-FR"/>
        </w:rPr>
        <w:t>tat italien n</w:t>
      </w:r>
      <w:r w:rsidR="00B94E33" w:rsidRPr="00B94E33">
        <w:rPr>
          <w:lang w:val="fr-FR"/>
        </w:rPr>
        <w:t>’</w:t>
      </w:r>
      <w:r w:rsidR="005A5765" w:rsidRPr="00B94E33">
        <w:rPr>
          <w:lang w:val="fr-FR"/>
        </w:rPr>
        <w:t xml:space="preserve">a pas pris les mesures </w:t>
      </w:r>
      <w:r w:rsidRPr="00B94E33">
        <w:rPr>
          <w:lang w:val="fr-FR"/>
        </w:rPr>
        <w:t>nécessaires</w:t>
      </w:r>
      <w:r w:rsidR="005A5765" w:rsidRPr="00B94E33">
        <w:rPr>
          <w:lang w:val="fr-FR"/>
        </w:rPr>
        <w:t xml:space="preserve"> pour </w:t>
      </w:r>
      <w:r w:rsidRPr="00B94E33">
        <w:rPr>
          <w:lang w:val="fr-FR"/>
        </w:rPr>
        <w:t>protéger</w:t>
      </w:r>
      <w:r w:rsidR="005A5765" w:rsidRPr="00B94E33">
        <w:rPr>
          <w:lang w:val="fr-FR"/>
        </w:rPr>
        <w:t xml:space="preserve"> sa vie ainsi </w:t>
      </w:r>
      <w:r w:rsidR="00FD3B1A" w:rsidRPr="00B94E33">
        <w:rPr>
          <w:lang w:val="fr-FR"/>
        </w:rPr>
        <w:t xml:space="preserve">que </w:t>
      </w:r>
      <w:r w:rsidR="005A5765" w:rsidRPr="00B94E33">
        <w:rPr>
          <w:lang w:val="fr-FR"/>
        </w:rPr>
        <w:t>celle de son fils.</w:t>
      </w:r>
    </w:p>
    <w:p w:rsidR="00292DDB" w:rsidRPr="00B94E33" w:rsidRDefault="00292DDB"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85</w:t>
      </w:r>
      <w:r w:rsidRPr="00B94E33">
        <w:rPr>
          <w:lang w:val="fr-FR"/>
        </w:rPr>
        <w:fldChar w:fldCharType="end"/>
      </w:r>
      <w:r w:rsidRPr="00B94E33">
        <w:rPr>
          <w:lang w:val="fr-FR"/>
        </w:rPr>
        <w:t>.  </w:t>
      </w:r>
      <w:r w:rsidR="002A6B61" w:rsidRPr="00B94E33">
        <w:rPr>
          <w:lang w:val="fr-FR"/>
        </w:rPr>
        <w:t>Se référant à la jurisprudence de la Cour (</w:t>
      </w:r>
      <w:r w:rsidR="002A6B61" w:rsidRPr="00B94E33">
        <w:rPr>
          <w:i/>
          <w:lang w:val="fr-FR"/>
        </w:rPr>
        <w:t>Opuz</w:t>
      </w:r>
      <w:r w:rsidR="002A6B61" w:rsidRPr="00B94E33">
        <w:rPr>
          <w:lang w:val="fr-FR"/>
        </w:rPr>
        <w:t>, précité, § 159), la requérante se plaint d</w:t>
      </w:r>
      <w:r w:rsidR="00B94E33" w:rsidRPr="00B94E33">
        <w:rPr>
          <w:lang w:val="fr-FR"/>
        </w:rPr>
        <w:t>’</w:t>
      </w:r>
      <w:r w:rsidR="002A6B61" w:rsidRPr="00B94E33">
        <w:rPr>
          <w:lang w:val="fr-FR"/>
        </w:rPr>
        <w:t xml:space="preserve">avoir été victime </w:t>
      </w:r>
      <w:r w:rsidRPr="00B94E33">
        <w:rPr>
          <w:lang w:val="fr-FR"/>
        </w:rPr>
        <w:t xml:space="preserve">également </w:t>
      </w:r>
      <w:r w:rsidR="002A6B61" w:rsidRPr="00B94E33">
        <w:rPr>
          <w:lang w:val="fr-FR"/>
        </w:rPr>
        <w:t>d</w:t>
      </w:r>
      <w:r w:rsidR="00B94E33" w:rsidRPr="00B94E33">
        <w:rPr>
          <w:lang w:val="fr-FR"/>
        </w:rPr>
        <w:t>’</w:t>
      </w:r>
      <w:r w:rsidR="002A6B61" w:rsidRPr="00B94E33">
        <w:rPr>
          <w:lang w:val="fr-FR"/>
        </w:rPr>
        <w:t>un traitement inhumain et dégradant. Elle répète qu</w:t>
      </w:r>
      <w:r w:rsidR="00B94E33" w:rsidRPr="00B94E33">
        <w:rPr>
          <w:lang w:val="fr-FR"/>
        </w:rPr>
        <w:t>’</w:t>
      </w:r>
      <w:r w:rsidR="002A6B61" w:rsidRPr="00B94E33">
        <w:rPr>
          <w:lang w:val="fr-FR"/>
        </w:rPr>
        <w:t>elle a déposé une plainte, avec dossier médical à l</w:t>
      </w:r>
      <w:r w:rsidR="00B94E33" w:rsidRPr="00B94E33">
        <w:rPr>
          <w:lang w:val="fr-FR"/>
        </w:rPr>
        <w:t>’</w:t>
      </w:r>
      <w:r w:rsidR="002A6B61" w:rsidRPr="00B94E33">
        <w:rPr>
          <w:lang w:val="fr-FR"/>
        </w:rPr>
        <w:t>appui, en septembre 2012 et que, pendant sept mois, les autorités n</w:t>
      </w:r>
      <w:r w:rsidR="00B94E33" w:rsidRPr="00B94E33">
        <w:rPr>
          <w:lang w:val="fr-FR"/>
        </w:rPr>
        <w:t>’</w:t>
      </w:r>
      <w:r w:rsidR="002A6B61" w:rsidRPr="00B94E33">
        <w:rPr>
          <w:lang w:val="fr-FR"/>
        </w:rPr>
        <w:t xml:space="preserve">ont rien fait pour la protéger. Elle ajoute que, pendant ce temps, son mari avait réussi à </w:t>
      </w:r>
      <w:r w:rsidRPr="00B94E33">
        <w:rPr>
          <w:lang w:val="fr-FR"/>
        </w:rPr>
        <w:t>la convaincre de retourner vivre avec lui.</w:t>
      </w:r>
    </w:p>
    <w:p w:rsidR="002A6B61" w:rsidRPr="00B94E33" w:rsidRDefault="00292DDB" w:rsidP="00B94E33">
      <w:pPr>
        <w:pStyle w:val="ECHRPara"/>
        <w:rPr>
          <w:lang w:val="fr-FR"/>
        </w:rPr>
      </w:pPr>
      <w:r w:rsidRPr="00B94E33">
        <w:rPr>
          <w:lang w:val="fr-FR"/>
        </w:rPr>
        <w:lastRenderedPageBreak/>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86</w:t>
      </w:r>
      <w:r w:rsidRPr="00B94E33">
        <w:rPr>
          <w:lang w:val="fr-FR"/>
        </w:rPr>
        <w:fldChar w:fldCharType="end"/>
      </w:r>
      <w:r w:rsidRPr="00B94E33">
        <w:rPr>
          <w:lang w:val="fr-FR"/>
        </w:rPr>
        <w:t>.  </w:t>
      </w:r>
      <w:r w:rsidR="002A6B61" w:rsidRPr="00B94E33">
        <w:rPr>
          <w:lang w:val="fr-FR"/>
        </w:rPr>
        <w:t>En conclusion, la requérante considère que l</w:t>
      </w:r>
      <w:r w:rsidR="00B94E33" w:rsidRPr="00B94E33">
        <w:rPr>
          <w:lang w:val="fr-FR"/>
        </w:rPr>
        <w:t>’</w:t>
      </w:r>
      <w:r w:rsidR="002A6B61" w:rsidRPr="00B94E33">
        <w:rPr>
          <w:lang w:val="fr-FR"/>
        </w:rPr>
        <w:t xml:space="preserve">État a manqué à ses obligations positives découlant </w:t>
      </w:r>
      <w:r w:rsidRPr="00B94E33">
        <w:rPr>
          <w:lang w:val="fr-FR"/>
        </w:rPr>
        <w:t xml:space="preserve">des articles 2 et </w:t>
      </w:r>
      <w:r w:rsidR="002A6B61" w:rsidRPr="00B94E33">
        <w:rPr>
          <w:lang w:val="fr-FR"/>
        </w:rPr>
        <w:t>3 de la Convention.</w:t>
      </w:r>
    </w:p>
    <w:p w:rsidR="00CC36F6" w:rsidRPr="00B94E33" w:rsidRDefault="0056713F" w:rsidP="00B94E33">
      <w:pPr>
        <w:pStyle w:val="ECHRHeading2"/>
        <w:rPr>
          <w:rFonts w:asciiTheme="minorHAnsi" w:eastAsiaTheme="minorEastAsia" w:hAnsiTheme="minorHAnsi" w:cstheme="minorBidi"/>
          <w:lang w:val="fr-FR"/>
        </w:rPr>
      </w:pPr>
      <w:r w:rsidRPr="00B94E33">
        <w:rPr>
          <w:lang w:val="fr-FR"/>
        </w:rPr>
        <w:t>B</w:t>
      </w:r>
      <w:r w:rsidR="009A3DE0" w:rsidRPr="00B94E33">
        <w:rPr>
          <w:lang w:val="fr-FR"/>
        </w:rPr>
        <w:t>.</w:t>
      </w:r>
      <w:r w:rsidR="00CA627F" w:rsidRPr="00B94E33">
        <w:rPr>
          <w:lang w:val="fr-FR"/>
        </w:rPr>
        <w:t>  </w:t>
      </w:r>
      <w:r w:rsidR="009A3DE0" w:rsidRPr="00B94E33">
        <w:rPr>
          <w:lang w:val="fr-FR"/>
        </w:rPr>
        <w:t>Arguments du Gouvernement</w:t>
      </w:r>
    </w:p>
    <w:p w:rsidR="009A3DE0" w:rsidRPr="00B94E33" w:rsidRDefault="002F6B0E"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87</w:t>
      </w:r>
      <w:r w:rsidRPr="00B94E33">
        <w:rPr>
          <w:lang w:val="fr-FR"/>
        </w:rPr>
        <w:fldChar w:fldCharType="end"/>
      </w:r>
      <w:r w:rsidRPr="00B94E33">
        <w:rPr>
          <w:lang w:val="fr-FR"/>
        </w:rPr>
        <w:t>.  </w:t>
      </w:r>
      <w:r w:rsidR="009A3DE0" w:rsidRPr="00B94E33">
        <w:rPr>
          <w:lang w:val="fr-FR"/>
        </w:rPr>
        <w:t>Après avoir énoncé les principes qui se dégag</w:t>
      </w:r>
      <w:r w:rsidR="00CA627F" w:rsidRPr="00B94E33">
        <w:rPr>
          <w:lang w:val="fr-FR"/>
        </w:rPr>
        <w:t>erai</w:t>
      </w:r>
      <w:r w:rsidR="009A3DE0" w:rsidRPr="00B94E33">
        <w:rPr>
          <w:lang w:val="fr-FR"/>
        </w:rPr>
        <w:t>ent de la jurisprudence de la Cour</w:t>
      </w:r>
      <w:r w:rsidR="004D6264" w:rsidRPr="00B94E33">
        <w:rPr>
          <w:lang w:val="fr-FR"/>
        </w:rPr>
        <w:t xml:space="preserve">, </w:t>
      </w:r>
      <w:r w:rsidR="001B1C13" w:rsidRPr="00B94E33">
        <w:rPr>
          <w:lang w:val="fr-FR"/>
        </w:rPr>
        <w:t xml:space="preserve">le Gouvernement </w:t>
      </w:r>
      <w:r w:rsidR="00CA627F" w:rsidRPr="00B94E33">
        <w:rPr>
          <w:lang w:val="fr-FR"/>
        </w:rPr>
        <w:t>indique</w:t>
      </w:r>
      <w:r w:rsidR="001B1C13" w:rsidRPr="00B94E33">
        <w:rPr>
          <w:lang w:val="fr-FR"/>
        </w:rPr>
        <w:t xml:space="preserve"> </w:t>
      </w:r>
      <w:r w:rsidR="004D6264" w:rsidRPr="00B94E33">
        <w:rPr>
          <w:lang w:val="fr-FR"/>
        </w:rPr>
        <w:t xml:space="preserve">que </w:t>
      </w:r>
      <w:r w:rsidR="009A3DE0" w:rsidRPr="00B94E33">
        <w:rPr>
          <w:lang w:val="fr-FR"/>
        </w:rPr>
        <w:t>toute menace présumée contre la vie n</w:t>
      </w:r>
      <w:r w:rsidR="00B94E33" w:rsidRPr="00B94E33">
        <w:rPr>
          <w:lang w:val="fr-FR"/>
        </w:rPr>
        <w:t>’</w:t>
      </w:r>
      <w:r w:rsidR="009A3DE0" w:rsidRPr="00B94E33">
        <w:rPr>
          <w:lang w:val="fr-FR"/>
        </w:rPr>
        <w:t xml:space="preserve">oblige pas les autorités, au regard de la Convention, à prendre des mesures concrètes pour en prévenir la réalisation </w:t>
      </w:r>
      <w:r w:rsidR="004D6264" w:rsidRPr="00B94E33">
        <w:rPr>
          <w:lang w:val="fr-FR"/>
        </w:rPr>
        <w:t>(</w:t>
      </w:r>
      <w:r w:rsidR="009A3DE0" w:rsidRPr="00B94E33">
        <w:rPr>
          <w:i/>
          <w:lang w:val="fr-FR"/>
        </w:rPr>
        <w:t>Opuz</w:t>
      </w:r>
      <w:r w:rsidR="004D6264" w:rsidRPr="00B94E33">
        <w:rPr>
          <w:lang w:val="fr-FR"/>
        </w:rPr>
        <w:t>,</w:t>
      </w:r>
      <w:r w:rsidR="009A3DE0" w:rsidRPr="00B94E33">
        <w:rPr>
          <w:i/>
          <w:lang w:val="fr-FR"/>
        </w:rPr>
        <w:t xml:space="preserve"> </w:t>
      </w:r>
      <w:r w:rsidR="004D6264" w:rsidRPr="00B94E33">
        <w:rPr>
          <w:lang w:val="fr-FR"/>
        </w:rPr>
        <w:t>précité</w:t>
      </w:r>
      <w:r w:rsidR="009A3DE0" w:rsidRPr="00B94E33">
        <w:rPr>
          <w:lang w:val="fr-FR"/>
        </w:rPr>
        <w:t>, § 129</w:t>
      </w:r>
      <w:r w:rsidR="001372C0" w:rsidRPr="00B94E33">
        <w:rPr>
          <w:lang w:val="fr-FR"/>
        </w:rPr>
        <w:t>).</w:t>
      </w:r>
      <w:r w:rsidR="009A3DE0" w:rsidRPr="00B94E33">
        <w:rPr>
          <w:lang w:val="fr-FR"/>
        </w:rPr>
        <w:t xml:space="preserve"> </w:t>
      </w:r>
      <w:r w:rsidR="001B1C13" w:rsidRPr="00B94E33">
        <w:rPr>
          <w:lang w:val="fr-FR"/>
        </w:rPr>
        <w:t>Il considère que, d</w:t>
      </w:r>
      <w:r w:rsidR="009A3DE0" w:rsidRPr="00B94E33">
        <w:rPr>
          <w:lang w:val="fr-FR"/>
        </w:rPr>
        <w:t xml:space="preserve">e plus, il doit être établi que les autorités savaient ou auraient dû savoir sur le moment </w:t>
      </w:r>
      <w:r w:rsidR="001B1C13" w:rsidRPr="00B94E33">
        <w:rPr>
          <w:lang w:val="fr-FR"/>
        </w:rPr>
        <w:t>que la vie d</w:t>
      </w:r>
      <w:r w:rsidR="00B94E33" w:rsidRPr="00B94E33">
        <w:rPr>
          <w:lang w:val="fr-FR"/>
        </w:rPr>
        <w:t>’</w:t>
      </w:r>
      <w:r w:rsidR="001B1C13" w:rsidRPr="00B94E33">
        <w:rPr>
          <w:lang w:val="fr-FR"/>
        </w:rPr>
        <w:t xml:space="preserve">un </w:t>
      </w:r>
      <w:r w:rsidR="009A3DE0" w:rsidRPr="00B94E33">
        <w:rPr>
          <w:lang w:val="fr-FR"/>
        </w:rPr>
        <w:t>individu donné était menacé</w:t>
      </w:r>
      <w:r w:rsidR="001B1C13" w:rsidRPr="00B94E33">
        <w:rPr>
          <w:lang w:val="fr-FR"/>
        </w:rPr>
        <w:t>e</w:t>
      </w:r>
      <w:r w:rsidR="009A3DE0" w:rsidRPr="00B94E33">
        <w:rPr>
          <w:lang w:val="fr-FR"/>
        </w:rPr>
        <w:t xml:space="preserve"> de manière réelle et immédiate </w:t>
      </w:r>
      <w:r w:rsidR="001B1C13" w:rsidRPr="00B94E33">
        <w:rPr>
          <w:lang w:val="fr-FR"/>
        </w:rPr>
        <w:t>en raison</w:t>
      </w:r>
      <w:r w:rsidR="009A3DE0" w:rsidRPr="00B94E33">
        <w:rPr>
          <w:lang w:val="fr-FR"/>
        </w:rPr>
        <w:t xml:space="preserve"> </w:t>
      </w:r>
      <w:r w:rsidR="001B1C13" w:rsidRPr="00B94E33">
        <w:rPr>
          <w:lang w:val="fr-FR"/>
        </w:rPr>
        <w:t>d</w:t>
      </w:r>
      <w:r w:rsidR="00B94E33" w:rsidRPr="00B94E33">
        <w:rPr>
          <w:lang w:val="fr-FR"/>
        </w:rPr>
        <w:t>’</w:t>
      </w:r>
      <w:r w:rsidR="009A3DE0" w:rsidRPr="00B94E33">
        <w:rPr>
          <w:lang w:val="fr-FR"/>
        </w:rPr>
        <w:t xml:space="preserve">actes criminels </w:t>
      </w:r>
      <w:r w:rsidR="001B1C13" w:rsidRPr="00B94E33">
        <w:rPr>
          <w:lang w:val="fr-FR"/>
        </w:rPr>
        <w:t>de la part d</w:t>
      </w:r>
      <w:r w:rsidR="00B94E33" w:rsidRPr="00B94E33">
        <w:rPr>
          <w:lang w:val="fr-FR"/>
        </w:rPr>
        <w:t>’</w:t>
      </w:r>
      <w:r w:rsidR="001B1C13" w:rsidRPr="00B94E33">
        <w:rPr>
          <w:lang w:val="fr-FR"/>
        </w:rPr>
        <w:t xml:space="preserve">un </w:t>
      </w:r>
      <w:r w:rsidR="009A3DE0" w:rsidRPr="00B94E33">
        <w:rPr>
          <w:lang w:val="fr-FR"/>
        </w:rPr>
        <w:t>tiers et qu</w:t>
      </w:r>
      <w:r w:rsidR="00B94E33" w:rsidRPr="00B94E33">
        <w:rPr>
          <w:lang w:val="fr-FR"/>
        </w:rPr>
        <w:t>’</w:t>
      </w:r>
      <w:r w:rsidR="009A3DE0" w:rsidRPr="00B94E33">
        <w:rPr>
          <w:lang w:val="fr-FR"/>
        </w:rPr>
        <w:t xml:space="preserve">elles </w:t>
      </w:r>
      <w:r w:rsidR="001B1C13" w:rsidRPr="00B94E33">
        <w:rPr>
          <w:lang w:val="fr-FR"/>
        </w:rPr>
        <w:t>n</w:t>
      </w:r>
      <w:r w:rsidR="00B94E33" w:rsidRPr="00B94E33">
        <w:rPr>
          <w:lang w:val="fr-FR"/>
        </w:rPr>
        <w:t>’</w:t>
      </w:r>
      <w:r w:rsidR="001B1C13" w:rsidRPr="00B94E33">
        <w:rPr>
          <w:lang w:val="fr-FR"/>
        </w:rPr>
        <w:t xml:space="preserve">ont </w:t>
      </w:r>
      <w:r w:rsidR="009A3DE0" w:rsidRPr="00B94E33">
        <w:rPr>
          <w:lang w:val="fr-FR"/>
        </w:rPr>
        <w:t>pas pris, dans le cadre de leurs pouvoirs, les mesures qui, d</w:t>
      </w:r>
      <w:r w:rsidR="00B94E33" w:rsidRPr="00B94E33">
        <w:rPr>
          <w:lang w:val="fr-FR"/>
        </w:rPr>
        <w:t>’</w:t>
      </w:r>
      <w:r w:rsidR="009A3DE0" w:rsidRPr="00B94E33">
        <w:rPr>
          <w:lang w:val="fr-FR"/>
        </w:rPr>
        <w:t>un point de vue raisonnable, auraient sans doute pallié ce risque.</w:t>
      </w:r>
    </w:p>
    <w:p w:rsidR="009A3DE0" w:rsidRPr="00B94E33" w:rsidRDefault="004D6264" w:rsidP="00B94E33">
      <w:pPr>
        <w:pStyle w:val="ECHRPara"/>
        <w:rPr>
          <w:lang w:val="fr-FR"/>
        </w:rPr>
      </w:pPr>
      <w:r w:rsidRPr="00B94E33">
        <w:rPr>
          <w:rFonts w:ascii="Times New Roman" w:hAnsi="Times New Roman" w:cs="Times New Roman"/>
          <w:color w:val="000000"/>
          <w:lang w:val="fr-FR"/>
        </w:rPr>
        <w:fldChar w:fldCharType="begin"/>
      </w:r>
      <w:r w:rsidRPr="00B94E33">
        <w:rPr>
          <w:rFonts w:ascii="Times New Roman" w:hAnsi="Times New Roman" w:cs="Times New Roman"/>
          <w:color w:val="000000"/>
          <w:lang w:val="fr-FR"/>
        </w:rPr>
        <w:instrText xml:space="preserve"> SEQ level0 \*arabic </w:instrText>
      </w:r>
      <w:r w:rsidRPr="00B94E33">
        <w:rPr>
          <w:rFonts w:ascii="Times New Roman" w:hAnsi="Times New Roman" w:cs="Times New Roman"/>
          <w:color w:val="000000"/>
          <w:lang w:val="fr-FR"/>
        </w:rPr>
        <w:fldChar w:fldCharType="separate"/>
      </w:r>
      <w:r w:rsidR="00B94E33" w:rsidRPr="00B94E33">
        <w:rPr>
          <w:rFonts w:ascii="Times New Roman" w:hAnsi="Times New Roman" w:cs="Times New Roman"/>
          <w:noProof/>
          <w:color w:val="000000"/>
          <w:lang w:val="fr-FR"/>
        </w:rPr>
        <w:t>88</w:t>
      </w:r>
      <w:r w:rsidRPr="00B94E33">
        <w:rPr>
          <w:rFonts w:ascii="Times New Roman" w:hAnsi="Times New Roman" w:cs="Times New Roman"/>
          <w:color w:val="000000"/>
          <w:lang w:val="fr-FR"/>
        </w:rPr>
        <w:fldChar w:fldCharType="end"/>
      </w:r>
      <w:r w:rsidRPr="00B94E33">
        <w:rPr>
          <w:rFonts w:ascii="Times New Roman" w:hAnsi="Times New Roman" w:cs="Times New Roman"/>
          <w:color w:val="000000"/>
          <w:lang w:val="fr-FR"/>
        </w:rPr>
        <w:t>.  </w:t>
      </w:r>
      <w:r w:rsidR="00CA627F" w:rsidRPr="00B94E33">
        <w:rPr>
          <w:rFonts w:ascii="Times New Roman" w:hAnsi="Times New Roman" w:cs="Times New Roman"/>
          <w:color w:val="000000"/>
          <w:lang w:val="fr-FR"/>
        </w:rPr>
        <w:t>De plus, l</w:t>
      </w:r>
      <w:r w:rsidRPr="00B94E33">
        <w:rPr>
          <w:rFonts w:ascii="Times New Roman" w:hAnsi="Times New Roman" w:cs="Times New Roman"/>
          <w:color w:val="000000"/>
          <w:lang w:val="fr-FR"/>
        </w:rPr>
        <w:t xml:space="preserve">e Gouvernement </w:t>
      </w:r>
      <w:r w:rsidR="003E63D4" w:rsidRPr="00B94E33">
        <w:rPr>
          <w:rFonts w:ascii="Times New Roman" w:hAnsi="Times New Roman" w:cs="Times New Roman"/>
          <w:color w:val="000000"/>
          <w:lang w:val="fr-FR"/>
        </w:rPr>
        <w:t>estime qu</w:t>
      </w:r>
      <w:r w:rsidR="00B94E33" w:rsidRPr="00B94E33">
        <w:rPr>
          <w:rFonts w:ascii="Times New Roman" w:hAnsi="Times New Roman" w:cs="Times New Roman"/>
          <w:color w:val="000000"/>
          <w:lang w:val="fr-FR"/>
        </w:rPr>
        <w:t>’</w:t>
      </w:r>
      <w:r w:rsidR="003E63D4" w:rsidRPr="00B94E33">
        <w:rPr>
          <w:rFonts w:ascii="Times New Roman" w:hAnsi="Times New Roman" w:cs="Times New Roman"/>
          <w:color w:val="000000"/>
          <w:lang w:val="fr-FR"/>
        </w:rPr>
        <w:t>il faut distinguer</w:t>
      </w:r>
      <w:r w:rsidRPr="00B94E33">
        <w:rPr>
          <w:rFonts w:ascii="Times New Roman" w:hAnsi="Times New Roman" w:cs="Times New Roman"/>
          <w:color w:val="000000"/>
          <w:lang w:val="fr-FR"/>
        </w:rPr>
        <w:t xml:space="preserve"> la présente affaire de l</w:t>
      </w:r>
      <w:r w:rsidR="00B94E33" w:rsidRPr="00B94E33">
        <w:rPr>
          <w:rFonts w:ascii="Times New Roman" w:hAnsi="Times New Roman" w:cs="Times New Roman"/>
          <w:color w:val="000000"/>
          <w:lang w:val="fr-FR"/>
        </w:rPr>
        <w:t>’</w:t>
      </w:r>
      <w:r w:rsidRPr="00B94E33">
        <w:rPr>
          <w:rFonts w:ascii="Times New Roman" w:hAnsi="Times New Roman" w:cs="Times New Roman"/>
          <w:color w:val="000000"/>
          <w:lang w:val="fr-FR"/>
        </w:rPr>
        <w:t xml:space="preserve">affaire </w:t>
      </w:r>
      <w:r w:rsidRPr="00B94E33">
        <w:rPr>
          <w:rFonts w:ascii="Times New Roman" w:hAnsi="Times New Roman" w:cs="Times New Roman"/>
          <w:i/>
          <w:color w:val="000000"/>
          <w:lang w:val="fr-FR"/>
        </w:rPr>
        <w:t>Opuz</w:t>
      </w:r>
      <w:r w:rsidRPr="00B94E33">
        <w:rPr>
          <w:rFonts w:ascii="Times New Roman" w:hAnsi="Times New Roman" w:cs="Times New Roman"/>
          <w:color w:val="000000"/>
          <w:lang w:val="fr-FR"/>
        </w:rPr>
        <w:t xml:space="preserve"> </w:t>
      </w:r>
      <w:r w:rsidR="00CA627F" w:rsidRPr="00B94E33">
        <w:rPr>
          <w:rFonts w:ascii="Times New Roman" w:hAnsi="Times New Roman" w:cs="Times New Roman"/>
          <w:color w:val="000000"/>
          <w:lang w:val="fr-FR"/>
        </w:rPr>
        <w:t xml:space="preserve">(arrêt </w:t>
      </w:r>
      <w:r w:rsidRPr="00B94E33">
        <w:rPr>
          <w:rFonts w:ascii="Times New Roman" w:hAnsi="Times New Roman" w:cs="Times New Roman"/>
          <w:color w:val="000000"/>
          <w:lang w:val="fr-FR"/>
        </w:rPr>
        <w:t>précité</w:t>
      </w:r>
      <w:r w:rsidR="00CA627F" w:rsidRPr="00B94E33">
        <w:rPr>
          <w:rFonts w:ascii="Times New Roman" w:hAnsi="Times New Roman" w:cs="Times New Roman"/>
          <w:color w:val="000000"/>
          <w:lang w:val="fr-FR"/>
        </w:rPr>
        <w:t>)</w:t>
      </w:r>
      <w:r w:rsidRPr="00B94E33">
        <w:rPr>
          <w:rFonts w:ascii="Times New Roman" w:hAnsi="Times New Roman" w:cs="Times New Roman"/>
          <w:color w:val="000000"/>
          <w:lang w:val="fr-FR"/>
        </w:rPr>
        <w:t>.</w:t>
      </w:r>
      <w:r w:rsidRPr="00B94E33">
        <w:rPr>
          <w:lang w:val="fr-FR"/>
        </w:rPr>
        <w:t xml:space="preserve"> Il</w:t>
      </w:r>
      <w:r w:rsidR="009A3DE0" w:rsidRPr="00B94E33">
        <w:rPr>
          <w:lang w:val="fr-FR"/>
        </w:rPr>
        <w:t xml:space="preserve"> est d</w:t>
      </w:r>
      <w:r w:rsidR="00B94E33" w:rsidRPr="00B94E33">
        <w:rPr>
          <w:lang w:val="fr-FR"/>
        </w:rPr>
        <w:t>’</w:t>
      </w:r>
      <w:r w:rsidR="009A3DE0" w:rsidRPr="00B94E33">
        <w:rPr>
          <w:lang w:val="fr-FR"/>
        </w:rPr>
        <w:t>avis que,</w:t>
      </w:r>
      <w:r w:rsidR="001B1C13" w:rsidRPr="00B94E33">
        <w:rPr>
          <w:lang w:val="fr-FR"/>
        </w:rPr>
        <w:t xml:space="preserve"> en l</w:t>
      </w:r>
      <w:r w:rsidR="00B94E33" w:rsidRPr="00B94E33">
        <w:rPr>
          <w:lang w:val="fr-FR"/>
        </w:rPr>
        <w:t>’</w:t>
      </w:r>
      <w:r w:rsidR="001B1C13" w:rsidRPr="00B94E33">
        <w:rPr>
          <w:lang w:val="fr-FR"/>
        </w:rPr>
        <w:t>espèce,</w:t>
      </w:r>
      <w:r w:rsidR="009A3DE0" w:rsidRPr="00B94E33">
        <w:rPr>
          <w:lang w:val="fr-FR"/>
        </w:rPr>
        <w:t xml:space="preserve"> les autorités ne savaient pas et n</w:t>
      </w:r>
      <w:r w:rsidR="00B94E33" w:rsidRPr="00B94E33">
        <w:rPr>
          <w:lang w:val="fr-FR"/>
        </w:rPr>
        <w:t>’</w:t>
      </w:r>
      <w:r w:rsidR="009A3DE0" w:rsidRPr="00B94E33">
        <w:rPr>
          <w:lang w:val="fr-FR"/>
        </w:rPr>
        <w:t xml:space="preserve">auraient pas pu savoir que </w:t>
      </w:r>
      <w:r w:rsidRPr="00B94E33">
        <w:rPr>
          <w:lang w:val="fr-FR"/>
        </w:rPr>
        <w:t xml:space="preserve">la requérante et son fils étaient en danger de </w:t>
      </w:r>
      <w:r w:rsidR="003E63D4" w:rsidRPr="00B94E33">
        <w:rPr>
          <w:lang w:val="fr-FR"/>
        </w:rPr>
        <w:t>mor</w:t>
      </w:r>
      <w:r w:rsidR="0028430A" w:rsidRPr="00B94E33">
        <w:rPr>
          <w:lang w:val="fr-FR"/>
        </w:rPr>
        <w:t>t, au motif qu</w:t>
      </w:r>
      <w:r w:rsidR="00B94E33" w:rsidRPr="00B94E33">
        <w:rPr>
          <w:lang w:val="fr-FR"/>
        </w:rPr>
        <w:t>’</w:t>
      </w:r>
      <w:r w:rsidR="005F3F51" w:rsidRPr="00B94E33">
        <w:rPr>
          <w:lang w:val="fr-FR"/>
        </w:rPr>
        <w:t>il n</w:t>
      </w:r>
      <w:r w:rsidR="00B94E33" w:rsidRPr="00B94E33">
        <w:rPr>
          <w:lang w:val="fr-FR"/>
        </w:rPr>
        <w:t>’</w:t>
      </w:r>
      <w:r w:rsidR="005F3F51" w:rsidRPr="00B94E33">
        <w:rPr>
          <w:lang w:val="fr-FR"/>
        </w:rPr>
        <w:t>existait aucune preuve tangible d</w:t>
      </w:r>
      <w:r w:rsidR="00B94E33" w:rsidRPr="00B94E33">
        <w:rPr>
          <w:lang w:val="fr-FR"/>
        </w:rPr>
        <w:t>’</w:t>
      </w:r>
      <w:r w:rsidR="005F3F51" w:rsidRPr="00B94E33">
        <w:rPr>
          <w:lang w:val="fr-FR"/>
        </w:rPr>
        <w:t xml:space="preserve">un danger imminent pour la vie de </w:t>
      </w:r>
      <w:r w:rsidR="003460FA" w:rsidRPr="00B94E33">
        <w:rPr>
          <w:lang w:val="fr-FR"/>
        </w:rPr>
        <w:t>l</w:t>
      </w:r>
      <w:r w:rsidR="00B94E33" w:rsidRPr="00B94E33">
        <w:rPr>
          <w:lang w:val="fr-FR"/>
        </w:rPr>
        <w:t>’</w:t>
      </w:r>
      <w:r w:rsidR="003460FA" w:rsidRPr="00B94E33">
        <w:rPr>
          <w:lang w:val="fr-FR"/>
        </w:rPr>
        <w:t>intéressée</w:t>
      </w:r>
      <w:r w:rsidR="005F3F51" w:rsidRPr="00B94E33">
        <w:rPr>
          <w:lang w:val="fr-FR"/>
        </w:rPr>
        <w:t xml:space="preserve"> et de son fils</w:t>
      </w:r>
      <w:r w:rsidR="003E63D4" w:rsidRPr="00B94E33">
        <w:rPr>
          <w:lang w:val="fr-FR"/>
        </w:rPr>
        <w:t>.</w:t>
      </w:r>
      <w:r w:rsidRPr="00B94E33">
        <w:rPr>
          <w:lang w:val="fr-FR"/>
        </w:rPr>
        <w:t xml:space="preserve"> Il </w:t>
      </w:r>
      <w:r w:rsidR="003E63D4" w:rsidRPr="00B94E33">
        <w:rPr>
          <w:lang w:val="fr-FR"/>
        </w:rPr>
        <w:t xml:space="preserve">indique </w:t>
      </w:r>
      <w:r w:rsidRPr="00B94E33">
        <w:rPr>
          <w:lang w:val="fr-FR"/>
        </w:rPr>
        <w:t>que</w:t>
      </w:r>
      <w:r w:rsidR="003E63D4" w:rsidRPr="00B94E33">
        <w:rPr>
          <w:lang w:val="fr-FR"/>
        </w:rPr>
        <w:t>,</w:t>
      </w:r>
      <w:r w:rsidRPr="00B94E33">
        <w:rPr>
          <w:lang w:val="fr-FR"/>
        </w:rPr>
        <w:t xml:space="preserve"> après</w:t>
      </w:r>
      <w:r w:rsidR="009A3DE0" w:rsidRPr="00B94E33">
        <w:rPr>
          <w:lang w:val="fr-FR"/>
        </w:rPr>
        <w:t xml:space="preserve"> les deux </w:t>
      </w:r>
      <w:r w:rsidRPr="00B94E33">
        <w:rPr>
          <w:lang w:val="fr-FR"/>
        </w:rPr>
        <w:t>épisodes d</w:t>
      </w:r>
      <w:r w:rsidR="009A3DE0" w:rsidRPr="00B94E33">
        <w:rPr>
          <w:lang w:val="fr-FR"/>
        </w:rPr>
        <w:t>e</w:t>
      </w:r>
      <w:r w:rsidRPr="00B94E33">
        <w:rPr>
          <w:lang w:val="fr-FR"/>
        </w:rPr>
        <w:t xml:space="preserve"> </w:t>
      </w:r>
      <w:r w:rsidR="009A3DE0" w:rsidRPr="00B94E33">
        <w:rPr>
          <w:lang w:val="fr-FR"/>
        </w:rPr>
        <w:t>violence</w:t>
      </w:r>
      <w:r w:rsidR="003E63D4" w:rsidRPr="00B94E33">
        <w:rPr>
          <w:lang w:val="fr-FR"/>
        </w:rPr>
        <w:t>s</w:t>
      </w:r>
      <w:r w:rsidRPr="00B94E33">
        <w:rPr>
          <w:lang w:val="fr-FR"/>
        </w:rPr>
        <w:t xml:space="preserve"> </w:t>
      </w:r>
      <w:r w:rsidR="003E63D4" w:rsidRPr="00B94E33">
        <w:rPr>
          <w:lang w:val="fr-FR"/>
        </w:rPr>
        <w:t xml:space="preserve">des mois de </w:t>
      </w:r>
      <w:r w:rsidRPr="00B94E33">
        <w:rPr>
          <w:lang w:val="fr-FR"/>
        </w:rPr>
        <w:t xml:space="preserve">juin et </w:t>
      </w:r>
      <w:r w:rsidR="003E63D4" w:rsidRPr="00B94E33">
        <w:rPr>
          <w:lang w:val="fr-FR"/>
        </w:rPr>
        <w:t>d</w:t>
      </w:r>
      <w:r w:rsidR="00B94E33" w:rsidRPr="00B94E33">
        <w:rPr>
          <w:lang w:val="fr-FR"/>
        </w:rPr>
        <w:t>’</w:t>
      </w:r>
      <w:r w:rsidRPr="00B94E33">
        <w:rPr>
          <w:lang w:val="fr-FR"/>
        </w:rPr>
        <w:t>août 2012,</w:t>
      </w:r>
      <w:r w:rsidR="009A3DE0" w:rsidRPr="00B94E33">
        <w:rPr>
          <w:lang w:val="fr-FR"/>
        </w:rPr>
        <w:t xml:space="preserve"> la requérant</w:t>
      </w:r>
      <w:r w:rsidRPr="00B94E33">
        <w:rPr>
          <w:lang w:val="fr-FR"/>
        </w:rPr>
        <w:t>e</w:t>
      </w:r>
      <w:r w:rsidR="009A3DE0" w:rsidRPr="00B94E33">
        <w:rPr>
          <w:lang w:val="fr-FR"/>
        </w:rPr>
        <w:t xml:space="preserve"> </w:t>
      </w:r>
      <w:r w:rsidR="003E63D4" w:rsidRPr="00B94E33">
        <w:rPr>
          <w:lang w:val="fr-FR"/>
        </w:rPr>
        <w:t xml:space="preserve">avait trouvé </w:t>
      </w:r>
      <w:r w:rsidR="009A3DE0" w:rsidRPr="00B94E33">
        <w:rPr>
          <w:lang w:val="fr-FR"/>
        </w:rPr>
        <w:t xml:space="preserve">refuge dans </w:t>
      </w:r>
      <w:r w:rsidR="003E63D4" w:rsidRPr="00B94E33">
        <w:rPr>
          <w:lang w:val="fr-FR"/>
        </w:rPr>
        <w:t>un centre</w:t>
      </w:r>
      <w:r w:rsidR="009A3DE0" w:rsidRPr="00B94E33">
        <w:rPr>
          <w:lang w:val="fr-FR"/>
        </w:rPr>
        <w:t xml:space="preserve"> d</w:t>
      </w:r>
      <w:r w:rsidR="00B94E33" w:rsidRPr="00B94E33">
        <w:rPr>
          <w:lang w:val="fr-FR"/>
        </w:rPr>
        <w:t>’</w:t>
      </w:r>
      <w:r w:rsidR="009A3DE0" w:rsidRPr="00B94E33">
        <w:rPr>
          <w:lang w:val="fr-FR"/>
        </w:rPr>
        <w:t xml:space="preserve">aide </w:t>
      </w:r>
      <w:r w:rsidRPr="00B94E33">
        <w:rPr>
          <w:lang w:val="fr-FR"/>
        </w:rPr>
        <w:t>aux victimes</w:t>
      </w:r>
      <w:r w:rsidR="009A3DE0" w:rsidRPr="00B94E33">
        <w:rPr>
          <w:lang w:val="fr-FR"/>
        </w:rPr>
        <w:t xml:space="preserve"> et </w:t>
      </w:r>
      <w:r w:rsidR="003E63D4" w:rsidRPr="00B94E33">
        <w:rPr>
          <w:lang w:val="fr-FR"/>
        </w:rPr>
        <w:t>qu</w:t>
      </w:r>
      <w:r w:rsidR="00B94E33" w:rsidRPr="00B94E33">
        <w:rPr>
          <w:lang w:val="fr-FR"/>
        </w:rPr>
        <w:t>’</w:t>
      </w:r>
      <w:r w:rsidR="009A3DE0" w:rsidRPr="00B94E33">
        <w:rPr>
          <w:lang w:val="fr-FR"/>
        </w:rPr>
        <w:t xml:space="preserve">elle </w:t>
      </w:r>
      <w:r w:rsidR="003E63D4" w:rsidRPr="00B94E33">
        <w:rPr>
          <w:lang w:val="fr-FR"/>
        </w:rPr>
        <w:t xml:space="preserve">avait ensuite trouvé </w:t>
      </w:r>
      <w:r w:rsidR="009A3DE0" w:rsidRPr="00B94E33">
        <w:rPr>
          <w:lang w:val="fr-FR"/>
        </w:rPr>
        <w:t xml:space="preserve">un </w:t>
      </w:r>
      <w:r w:rsidRPr="00B94E33">
        <w:rPr>
          <w:lang w:val="fr-FR"/>
        </w:rPr>
        <w:t>travail</w:t>
      </w:r>
      <w:r w:rsidR="009A3DE0" w:rsidRPr="00B94E33">
        <w:rPr>
          <w:lang w:val="fr-FR"/>
        </w:rPr>
        <w:t xml:space="preserve"> </w:t>
      </w:r>
      <w:r w:rsidR="0028430A" w:rsidRPr="00B94E33">
        <w:rPr>
          <w:lang w:val="fr-FR"/>
        </w:rPr>
        <w:t>lui assurant une</w:t>
      </w:r>
      <w:r w:rsidR="003E63D4" w:rsidRPr="00B94E33">
        <w:rPr>
          <w:lang w:val="fr-FR"/>
        </w:rPr>
        <w:t xml:space="preserve"> indépendan</w:t>
      </w:r>
      <w:r w:rsidR="0028430A" w:rsidRPr="00B94E33">
        <w:rPr>
          <w:lang w:val="fr-FR"/>
        </w:rPr>
        <w:t>c</w:t>
      </w:r>
      <w:r w:rsidR="003E63D4" w:rsidRPr="00B94E33">
        <w:rPr>
          <w:lang w:val="fr-FR"/>
        </w:rPr>
        <w:t>e financière</w:t>
      </w:r>
      <w:r w:rsidR="009A3DE0" w:rsidRPr="00B94E33">
        <w:rPr>
          <w:lang w:val="fr-FR"/>
        </w:rPr>
        <w:t xml:space="preserve">. </w:t>
      </w:r>
      <w:r w:rsidR="003E63D4" w:rsidRPr="00B94E33">
        <w:rPr>
          <w:lang w:val="fr-FR"/>
        </w:rPr>
        <w:t>Selon le Gouvernement, l</w:t>
      </w:r>
      <w:r w:rsidR="009A3DE0" w:rsidRPr="00B94E33">
        <w:rPr>
          <w:lang w:val="fr-FR"/>
        </w:rPr>
        <w:t xml:space="preserve">es deux épisodes signalés en </w:t>
      </w:r>
      <w:r w:rsidRPr="00B94E33">
        <w:rPr>
          <w:lang w:val="fr-FR"/>
        </w:rPr>
        <w:t>juin et</w:t>
      </w:r>
      <w:r w:rsidR="009A3DE0" w:rsidRPr="00B94E33">
        <w:rPr>
          <w:lang w:val="fr-FR"/>
        </w:rPr>
        <w:t xml:space="preserve"> </w:t>
      </w:r>
      <w:r w:rsidR="003E63D4" w:rsidRPr="00B94E33">
        <w:rPr>
          <w:lang w:val="fr-FR"/>
        </w:rPr>
        <w:t xml:space="preserve">en </w:t>
      </w:r>
      <w:r w:rsidRPr="00B94E33">
        <w:rPr>
          <w:lang w:val="fr-FR"/>
        </w:rPr>
        <w:t>août 2012 faisaient vraisemblablement</w:t>
      </w:r>
      <w:r w:rsidR="009A3DE0" w:rsidRPr="00B94E33">
        <w:rPr>
          <w:lang w:val="fr-FR"/>
        </w:rPr>
        <w:t xml:space="preserve"> penser à de</w:t>
      </w:r>
      <w:r w:rsidR="0028430A" w:rsidRPr="00B94E33">
        <w:rPr>
          <w:lang w:val="fr-FR"/>
        </w:rPr>
        <w:t xml:space="preserve"> simples</w:t>
      </w:r>
      <w:r w:rsidR="009A3DE0" w:rsidRPr="00B94E33">
        <w:rPr>
          <w:lang w:val="fr-FR"/>
        </w:rPr>
        <w:t xml:space="preserve"> conflits familiaux. </w:t>
      </w:r>
      <w:r w:rsidR="003E63D4" w:rsidRPr="00B94E33">
        <w:rPr>
          <w:lang w:val="fr-FR"/>
        </w:rPr>
        <w:t>Le Gouvernement considère que l</w:t>
      </w:r>
      <w:r w:rsidR="009A3DE0" w:rsidRPr="00B94E33">
        <w:rPr>
          <w:lang w:val="fr-FR"/>
        </w:rPr>
        <w:t xml:space="preserve">es </w:t>
      </w:r>
      <w:r w:rsidRPr="00B94E33">
        <w:rPr>
          <w:lang w:val="fr-FR"/>
        </w:rPr>
        <w:t>autorités ont fait tout ce qu</w:t>
      </w:r>
      <w:r w:rsidR="00B94E33" w:rsidRPr="00B94E33">
        <w:rPr>
          <w:lang w:val="fr-FR"/>
        </w:rPr>
        <w:t>’</w:t>
      </w:r>
      <w:r w:rsidRPr="00B94E33">
        <w:rPr>
          <w:lang w:val="fr-FR"/>
        </w:rPr>
        <w:t>i</w:t>
      </w:r>
      <w:r w:rsidR="009A3DE0" w:rsidRPr="00B94E33">
        <w:rPr>
          <w:lang w:val="fr-FR"/>
        </w:rPr>
        <w:t xml:space="preserve">l était en leur pouvoir </w:t>
      </w:r>
      <w:r w:rsidR="00AD48CF" w:rsidRPr="00B94E33">
        <w:rPr>
          <w:lang w:val="fr-FR"/>
        </w:rPr>
        <w:t>en verbalisant</w:t>
      </w:r>
      <w:r w:rsidR="003E63D4" w:rsidRPr="00B94E33">
        <w:rPr>
          <w:lang w:val="fr-FR"/>
        </w:rPr>
        <w:t xml:space="preserve"> </w:t>
      </w:r>
      <w:r w:rsidRPr="00B94E33">
        <w:rPr>
          <w:lang w:val="fr-FR"/>
        </w:rPr>
        <w:t>A.T.</w:t>
      </w:r>
      <w:r w:rsidR="009A3DE0" w:rsidRPr="00B94E33">
        <w:rPr>
          <w:lang w:val="fr-FR"/>
        </w:rPr>
        <w:t xml:space="preserve"> pour port d</w:t>
      </w:r>
      <w:r w:rsidR="00B94E33" w:rsidRPr="00B94E33">
        <w:rPr>
          <w:lang w:val="fr-FR"/>
        </w:rPr>
        <w:t>’</w:t>
      </w:r>
      <w:r w:rsidRPr="00B94E33">
        <w:rPr>
          <w:lang w:val="fr-FR"/>
        </w:rPr>
        <w:t>arme</w:t>
      </w:r>
      <w:r w:rsidR="00B8461A" w:rsidRPr="00B94E33">
        <w:rPr>
          <w:lang w:val="fr-FR"/>
        </w:rPr>
        <w:t xml:space="preserve"> prohibé</w:t>
      </w:r>
      <w:r w:rsidR="00583228" w:rsidRPr="00B94E33">
        <w:rPr>
          <w:lang w:val="fr-FR"/>
        </w:rPr>
        <w:t>,</w:t>
      </w:r>
      <w:r w:rsidR="00AD48CF" w:rsidRPr="00B94E33">
        <w:rPr>
          <w:lang w:val="fr-FR"/>
        </w:rPr>
        <w:t xml:space="preserve"> </w:t>
      </w:r>
      <w:r w:rsidR="0028430A" w:rsidRPr="00B94E33">
        <w:rPr>
          <w:lang w:val="fr-FR"/>
        </w:rPr>
        <w:t>et que</w:t>
      </w:r>
      <w:r w:rsidR="00B10776" w:rsidRPr="00B94E33">
        <w:rPr>
          <w:lang w:val="fr-FR"/>
        </w:rPr>
        <w:t xml:space="preserve"> </w:t>
      </w:r>
      <w:r w:rsidR="00B8461A" w:rsidRPr="00B94E33">
        <w:rPr>
          <w:lang w:val="fr-FR"/>
        </w:rPr>
        <w:t>l</w:t>
      </w:r>
      <w:r w:rsidR="00B94E33" w:rsidRPr="00B94E33">
        <w:rPr>
          <w:lang w:val="fr-FR"/>
        </w:rPr>
        <w:t>’</w:t>
      </w:r>
      <w:r w:rsidR="00B8461A" w:rsidRPr="00B94E33">
        <w:rPr>
          <w:lang w:val="fr-FR"/>
        </w:rPr>
        <w:t>ouverture d</w:t>
      </w:r>
      <w:r w:rsidR="00B94E33" w:rsidRPr="00B94E33">
        <w:rPr>
          <w:lang w:val="fr-FR"/>
        </w:rPr>
        <w:t>’</w:t>
      </w:r>
      <w:r w:rsidR="00B8461A" w:rsidRPr="00B94E33">
        <w:rPr>
          <w:lang w:val="fr-FR"/>
        </w:rPr>
        <w:t>une enquête pour</w:t>
      </w:r>
      <w:r w:rsidR="003E63D4" w:rsidRPr="00B94E33">
        <w:rPr>
          <w:lang w:val="fr-FR"/>
        </w:rPr>
        <w:t xml:space="preserve"> maltraitance et </w:t>
      </w:r>
      <w:r w:rsidR="00C5643E" w:rsidRPr="00B94E33">
        <w:rPr>
          <w:lang w:val="fr-FR"/>
        </w:rPr>
        <w:t>lésions corporelles</w:t>
      </w:r>
      <w:r w:rsidRPr="00B94E33">
        <w:rPr>
          <w:lang w:val="fr-FR"/>
        </w:rPr>
        <w:t xml:space="preserve"> nécessit</w:t>
      </w:r>
      <w:r w:rsidR="003E63D4" w:rsidRPr="00B94E33">
        <w:rPr>
          <w:lang w:val="fr-FR"/>
        </w:rPr>
        <w:t>ai</w:t>
      </w:r>
      <w:r w:rsidRPr="00B94E33">
        <w:rPr>
          <w:lang w:val="fr-FR"/>
        </w:rPr>
        <w:t>t</w:t>
      </w:r>
      <w:r w:rsidR="009A3DE0" w:rsidRPr="00B94E33">
        <w:rPr>
          <w:lang w:val="fr-FR"/>
        </w:rPr>
        <w:t xml:space="preserve"> </w:t>
      </w:r>
      <w:r w:rsidR="00B10776" w:rsidRPr="00B94E33">
        <w:rPr>
          <w:lang w:val="fr-FR"/>
        </w:rPr>
        <w:t>le dépôt d</w:t>
      </w:r>
      <w:r w:rsidR="00B94E33" w:rsidRPr="00B94E33">
        <w:rPr>
          <w:lang w:val="fr-FR"/>
        </w:rPr>
        <w:t>’</w:t>
      </w:r>
      <w:r w:rsidR="00B10776" w:rsidRPr="00B94E33">
        <w:rPr>
          <w:lang w:val="fr-FR"/>
        </w:rPr>
        <w:t>une</w:t>
      </w:r>
      <w:r w:rsidR="009A3DE0" w:rsidRPr="00B94E33">
        <w:rPr>
          <w:lang w:val="fr-FR"/>
        </w:rPr>
        <w:t xml:space="preserve"> </w:t>
      </w:r>
      <w:r w:rsidRPr="00B94E33">
        <w:rPr>
          <w:lang w:val="fr-FR"/>
        </w:rPr>
        <w:t>plainte</w:t>
      </w:r>
      <w:r w:rsidR="00B10776" w:rsidRPr="00B94E33">
        <w:rPr>
          <w:lang w:val="fr-FR"/>
        </w:rPr>
        <w:t xml:space="preserve"> pénale</w:t>
      </w:r>
      <w:r w:rsidR="009A3DE0" w:rsidRPr="00B94E33">
        <w:rPr>
          <w:lang w:val="fr-FR"/>
        </w:rPr>
        <w:t>.</w:t>
      </w:r>
    </w:p>
    <w:p w:rsidR="009A3DE0" w:rsidRPr="00B94E33" w:rsidRDefault="004D6264"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89</w:t>
      </w:r>
      <w:r w:rsidRPr="00B94E33">
        <w:rPr>
          <w:lang w:val="fr-FR"/>
        </w:rPr>
        <w:fldChar w:fldCharType="end"/>
      </w:r>
      <w:r w:rsidRPr="00B94E33">
        <w:rPr>
          <w:lang w:val="fr-FR"/>
        </w:rPr>
        <w:t xml:space="preserve">.  Le Gouvernement </w:t>
      </w:r>
      <w:r w:rsidR="003E63D4" w:rsidRPr="00B94E33">
        <w:rPr>
          <w:lang w:val="fr-FR"/>
        </w:rPr>
        <w:t>expose</w:t>
      </w:r>
      <w:r w:rsidRPr="00B94E33">
        <w:rPr>
          <w:lang w:val="fr-FR"/>
        </w:rPr>
        <w:t xml:space="preserve"> également que la requérant</w:t>
      </w:r>
      <w:r w:rsidR="00BF11C3" w:rsidRPr="00B94E33">
        <w:rPr>
          <w:lang w:val="fr-FR"/>
        </w:rPr>
        <w:t>e</w:t>
      </w:r>
      <w:r w:rsidRPr="00B94E33">
        <w:rPr>
          <w:lang w:val="fr-FR"/>
        </w:rPr>
        <w:t xml:space="preserve"> a quitté le centre où elle s</w:t>
      </w:r>
      <w:r w:rsidR="00B94E33" w:rsidRPr="00B94E33">
        <w:rPr>
          <w:lang w:val="fr-FR"/>
        </w:rPr>
        <w:t>’</w:t>
      </w:r>
      <w:r w:rsidRPr="00B94E33">
        <w:rPr>
          <w:lang w:val="fr-FR"/>
        </w:rPr>
        <w:t>était réfugiée et que,</w:t>
      </w:r>
      <w:r w:rsidR="009A3DE0" w:rsidRPr="00B94E33">
        <w:rPr>
          <w:lang w:val="fr-FR"/>
        </w:rPr>
        <w:t xml:space="preserve"> </w:t>
      </w:r>
      <w:r w:rsidRPr="00B94E33">
        <w:rPr>
          <w:lang w:val="fr-FR"/>
        </w:rPr>
        <w:t>lorsqu</w:t>
      </w:r>
      <w:r w:rsidR="00B94E33" w:rsidRPr="00B94E33">
        <w:rPr>
          <w:lang w:val="fr-FR"/>
        </w:rPr>
        <w:t>’</w:t>
      </w:r>
      <w:r w:rsidRPr="00B94E33">
        <w:rPr>
          <w:lang w:val="fr-FR"/>
        </w:rPr>
        <w:t>elle a été interrogée</w:t>
      </w:r>
      <w:r w:rsidR="009A3DE0" w:rsidRPr="00B94E33">
        <w:rPr>
          <w:lang w:val="fr-FR"/>
        </w:rPr>
        <w:t xml:space="preserve"> par la police en avril 2013, </w:t>
      </w:r>
      <w:r w:rsidRPr="00B94E33">
        <w:rPr>
          <w:lang w:val="fr-FR"/>
        </w:rPr>
        <w:t xml:space="preserve">elle </w:t>
      </w:r>
      <w:r w:rsidR="003460FA" w:rsidRPr="00B94E33">
        <w:rPr>
          <w:lang w:val="fr-FR"/>
        </w:rPr>
        <w:t>a modifié</w:t>
      </w:r>
      <w:r w:rsidRPr="00B94E33">
        <w:rPr>
          <w:lang w:val="fr-FR"/>
        </w:rPr>
        <w:t xml:space="preserve"> ses déclarations</w:t>
      </w:r>
      <w:r w:rsidR="0028430A" w:rsidRPr="00B94E33">
        <w:rPr>
          <w:lang w:val="fr-FR"/>
        </w:rPr>
        <w:t xml:space="preserve"> antérieures</w:t>
      </w:r>
      <w:r w:rsidR="009A3DE0" w:rsidRPr="00B94E33">
        <w:rPr>
          <w:lang w:val="fr-FR"/>
        </w:rPr>
        <w:t>.</w:t>
      </w:r>
      <w:r w:rsidRPr="00B94E33">
        <w:rPr>
          <w:lang w:val="fr-FR"/>
        </w:rPr>
        <w:t xml:space="preserve"> </w:t>
      </w:r>
      <w:r w:rsidR="003E63D4" w:rsidRPr="00B94E33">
        <w:rPr>
          <w:lang w:val="fr-FR"/>
        </w:rPr>
        <w:t>Il indique que l</w:t>
      </w:r>
      <w:r w:rsidR="009A3DE0" w:rsidRPr="00B94E33">
        <w:rPr>
          <w:lang w:val="fr-FR"/>
        </w:rPr>
        <w:t>es autorités</w:t>
      </w:r>
      <w:r w:rsidRPr="00B94E33">
        <w:rPr>
          <w:lang w:val="fr-FR"/>
        </w:rPr>
        <w:t>, avant de procéder au classement de la plainte pour maltraitance familiale,</w:t>
      </w:r>
      <w:r w:rsidR="009A3DE0" w:rsidRPr="00B94E33">
        <w:rPr>
          <w:lang w:val="fr-FR"/>
        </w:rPr>
        <w:t xml:space="preserve"> ont v</w:t>
      </w:r>
      <w:r w:rsidR="003E63D4" w:rsidRPr="00B94E33">
        <w:rPr>
          <w:lang w:val="fr-FR"/>
        </w:rPr>
        <w:t>é</w:t>
      </w:r>
      <w:r w:rsidR="009A3DE0" w:rsidRPr="00B94E33">
        <w:rPr>
          <w:lang w:val="fr-FR"/>
        </w:rPr>
        <w:t xml:space="preserve">rifié </w:t>
      </w:r>
      <w:r w:rsidR="0028430A" w:rsidRPr="00B94E33">
        <w:rPr>
          <w:lang w:val="fr-FR"/>
        </w:rPr>
        <w:t xml:space="preserve">si </w:t>
      </w:r>
      <w:r w:rsidR="009A3DE0" w:rsidRPr="00B94E33">
        <w:rPr>
          <w:lang w:val="fr-FR"/>
        </w:rPr>
        <w:t>sa version des faits</w:t>
      </w:r>
      <w:r w:rsidR="0028430A" w:rsidRPr="00B94E33">
        <w:rPr>
          <w:lang w:val="fr-FR"/>
        </w:rPr>
        <w:t xml:space="preserve"> était exacte,</w:t>
      </w:r>
      <w:r w:rsidR="009A3DE0" w:rsidRPr="00B94E33">
        <w:rPr>
          <w:lang w:val="fr-FR"/>
        </w:rPr>
        <w:t xml:space="preserve"> s</w:t>
      </w:r>
      <w:r w:rsidR="00B94E33" w:rsidRPr="00B94E33">
        <w:rPr>
          <w:lang w:val="fr-FR"/>
        </w:rPr>
        <w:t>’</w:t>
      </w:r>
      <w:r w:rsidR="009A3DE0" w:rsidRPr="00B94E33">
        <w:rPr>
          <w:lang w:val="fr-FR"/>
        </w:rPr>
        <w:t>il y avait eu d</w:t>
      </w:r>
      <w:r w:rsidR="00B94E33" w:rsidRPr="00B94E33">
        <w:rPr>
          <w:lang w:val="fr-FR"/>
        </w:rPr>
        <w:t>’</w:t>
      </w:r>
      <w:r w:rsidR="009A3DE0" w:rsidRPr="00B94E33">
        <w:rPr>
          <w:lang w:val="fr-FR"/>
        </w:rPr>
        <w:t xml:space="preserve">autres </w:t>
      </w:r>
      <w:r w:rsidR="003460FA" w:rsidRPr="00B94E33">
        <w:rPr>
          <w:lang w:val="fr-FR"/>
        </w:rPr>
        <w:t xml:space="preserve">événements de ce type </w:t>
      </w:r>
      <w:r w:rsidR="003E63D4" w:rsidRPr="00B94E33">
        <w:rPr>
          <w:lang w:val="fr-FR"/>
        </w:rPr>
        <w:t>et</w:t>
      </w:r>
      <w:r w:rsidR="009A3DE0" w:rsidRPr="00B94E33">
        <w:rPr>
          <w:lang w:val="fr-FR"/>
        </w:rPr>
        <w:t xml:space="preserve"> </w:t>
      </w:r>
      <w:r w:rsidRPr="00B94E33">
        <w:rPr>
          <w:lang w:val="fr-FR"/>
        </w:rPr>
        <w:t xml:space="preserve">si </w:t>
      </w:r>
      <w:r w:rsidR="003460FA" w:rsidRPr="00B94E33">
        <w:rPr>
          <w:lang w:val="fr-FR"/>
        </w:rPr>
        <w:t>l</w:t>
      </w:r>
      <w:r w:rsidR="00B94E33" w:rsidRPr="00B94E33">
        <w:rPr>
          <w:lang w:val="fr-FR"/>
        </w:rPr>
        <w:t>’</w:t>
      </w:r>
      <w:r w:rsidR="003460FA" w:rsidRPr="00B94E33">
        <w:rPr>
          <w:lang w:val="fr-FR"/>
        </w:rPr>
        <w:t xml:space="preserve">intéressée </w:t>
      </w:r>
      <w:r w:rsidRPr="00B94E33">
        <w:rPr>
          <w:lang w:val="fr-FR"/>
        </w:rPr>
        <w:t xml:space="preserve">se trouvait dans une situation </w:t>
      </w:r>
      <w:r w:rsidR="009A3DE0" w:rsidRPr="00B94E33">
        <w:rPr>
          <w:lang w:val="fr-FR"/>
        </w:rPr>
        <w:t xml:space="preserve">de </w:t>
      </w:r>
      <w:r w:rsidRPr="00B94E33">
        <w:rPr>
          <w:lang w:val="fr-FR"/>
        </w:rPr>
        <w:t>vulnérabilité</w:t>
      </w:r>
      <w:r w:rsidR="009A3DE0" w:rsidRPr="00B94E33">
        <w:rPr>
          <w:lang w:val="fr-FR"/>
        </w:rPr>
        <w:t xml:space="preserve"> </w:t>
      </w:r>
      <w:r w:rsidR="0028430A" w:rsidRPr="00B94E33">
        <w:rPr>
          <w:lang w:val="fr-FR"/>
        </w:rPr>
        <w:t>susceptible de l</w:t>
      </w:r>
      <w:r w:rsidR="00B94E33" w:rsidRPr="00B94E33">
        <w:rPr>
          <w:lang w:val="fr-FR"/>
        </w:rPr>
        <w:t>’</w:t>
      </w:r>
      <w:r w:rsidR="0028430A" w:rsidRPr="00B94E33">
        <w:rPr>
          <w:lang w:val="fr-FR"/>
        </w:rPr>
        <w:t>amener</w:t>
      </w:r>
      <w:r w:rsidR="009A3DE0" w:rsidRPr="00B94E33">
        <w:rPr>
          <w:lang w:val="fr-FR"/>
        </w:rPr>
        <w:t xml:space="preserve"> à </w:t>
      </w:r>
      <w:r w:rsidR="003E63D4" w:rsidRPr="00B94E33">
        <w:rPr>
          <w:lang w:val="fr-FR"/>
        </w:rPr>
        <w:t xml:space="preserve">modifier </w:t>
      </w:r>
      <w:r w:rsidRPr="00B94E33">
        <w:rPr>
          <w:lang w:val="fr-FR"/>
        </w:rPr>
        <w:t>s</w:t>
      </w:r>
      <w:r w:rsidR="009A3DE0" w:rsidRPr="00B94E33">
        <w:rPr>
          <w:lang w:val="fr-FR"/>
        </w:rPr>
        <w:t xml:space="preserve">es </w:t>
      </w:r>
      <w:r w:rsidRPr="00B94E33">
        <w:rPr>
          <w:lang w:val="fr-FR"/>
        </w:rPr>
        <w:t>déclarations</w:t>
      </w:r>
      <w:r w:rsidR="009A3DE0" w:rsidRPr="00B94E33">
        <w:rPr>
          <w:lang w:val="fr-FR"/>
        </w:rPr>
        <w:t>.</w:t>
      </w:r>
      <w:r w:rsidRPr="00B94E33">
        <w:rPr>
          <w:lang w:val="fr-FR"/>
        </w:rPr>
        <w:t xml:space="preserve"> </w:t>
      </w:r>
      <w:r w:rsidR="003E63D4" w:rsidRPr="00B94E33">
        <w:rPr>
          <w:lang w:val="fr-FR"/>
        </w:rPr>
        <w:t>Selon le Gouvernement, l</w:t>
      </w:r>
      <w:r w:rsidRPr="00B94E33">
        <w:rPr>
          <w:lang w:val="fr-FR"/>
        </w:rPr>
        <w:t>a requérant</w:t>
      </w:r>
      <w:r w:rsidR="003E63D4" w:rsidRPr="00B94E33">
        <w:rPr>
          <w:lang w:val="fr-FR"/>
        </w:rPr>
        <w:t>e</w:t>
      </w:r>
      <w:r w:rsidRPr="00B94E33">
        <w:rPr>
          <w:lang w:val="fr-FR"/>
        </w:rPr>
        <w:t xml:space="preserve"> avait </w:t>
      </w:r>
      <w:r w:rsidR="003E63D4" w:rsidRPr="00B94E33">
        <w:rPr>
          <w:lang w:val="fr-FR"/>
        </w:rPr>
        <w:t xml:space="preserve">alors </w:t>
      </w:r>
      <w:r w:rsidRPr="00B94E33">
        <w:rPr>
          <w:lang w:val="fr-FR"/>
        </w:rPr>
        <w:t>déclaré qu</w:t>
      </w:r>
      <w:r w:rsidR="00B94E33" w:rsidRPr="00B94E33">
        <w:rPr>
          <w:lang w:val="fr-FR"/>
        </w:rPr>
        <w:t>’</w:t>
      </w:r>
      <w:r w:rsidRPr="00B94E33">
        <w:rPr>
          <w:lang w:val="fr-FR"/>
        </w:rPr>
        <w:t xml:space="preserve">il </w:t>
      </w:r>
      <w:r w:rsidR="007F762B" w:rsidRPr="00B94E33">
        <w:rPr>
          <w:lang w:val="fr-FR"/>
        </w:rPr>
        <w:t>n</w:t>
      </w:r>
      <w:r w:rsidR="00B94E33" w:rsidRPr="00B94E33">
        <w:rPr>
          <w:lang w:val="fr-FR"/>
        </w:rPr>
        <w:t>’</w:t>
      </w:r>
      <w:r w:rsidR="007F762B" w:rsidRPr="00B94E33">
        <w:rPr>
          <w:lang w:val="fr-FR"/>
        </w:rPr>
        <w:t>y</w:t>
      </w:r>
      <w:r w:rsidRPr="00B94E33">
        <w:rPr>
          <w:lang w:val="fr-FR"/>
        </w:rPr>
        <w:t xml:space="preserve"> avait plus eu </w:t>
      </w:r>
      <w:r w:rsidR="00F81900" w:rsidRPr="00B94E33">
        <w:rPr>
          <w:lang w:val="fr-FR"/>
        </w:rPr>
        <w:t>d</w:t>
      </w:r>
      <w:r w:rsidR="00B94E33" w:rsidRPr="00B94E33">
        <w:rPr>
          <w:lang w:val="fr-FR"/>
        </w:rPr>
        <w:t>’</w:t>
      </w:r>
      <w:r w:rsidR="00F81900" w:rsidRPr="00B94E33">
        <w:rPr>
          <w:lang w:val="fr-FR"/>
        </w:rPr>
        <w:t xml:space="preserve">incident </w:t>
      </w:r>
      <w:r w:rsidRPr="00B94E33">
        <w:rPr>
          <w:lang w:val="fr-FR"/>
        </w:rPr>
        <w:t>et que A.T. était calme.</w:t>
      </w:r>
    </w:p>
    <w:p w:rsidR="009A3DE0" w:rsidRPr="00B94E33" w:rsidRDefault="004D6264"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90</w:t>
      </w:r>
      <w:r w:rsidRPr="00B94E33">
        <w:rPr>
          <w:lang w:val="fr-FR"/>
        </w:rPr>
        <w:fldChar w:fldCharType="end"/>
      </w:r>
      <w:r w:rsidR="0028430A" w:rsidRPr="00B94E33">
        <w:rPr>
          <w:lang w:val="fr-FR"/>
        </w:rPr>
        <w:t>.  </w:t>
      </w:r>
      <w:r w:rsidRPr="00B94E33">
        <w:rPr>
          <w:lang w:val="fr-FR"/>
        </w:rPr>
        <w:t xml:space="preserve">Dans cette situation, le Gouvernement </w:t>
      </w:r>
      <w:r w:rsidR="00E677D7" w:rsidRPr="00B94E33">
        <w:rPr>
          <w:lang w:val="fr-FR"/>
        </w:rPr>
        <w:t>juge</w:t>
      </w:r>
      <w:r w:rsidRPr="00B94E33">
        <w:rPr>
          <w:lang w:val="fr-FR"/>
        </w:rPr>
        <w:t xml:space="preserve"> qu</w:t>
      </w:r>
      <w:r w:rsidR="00B94E33" w:rsidRPr="00B94E33">
        <w:rPr>
          <w:lang w:val="fr-FR"/>
        </w:rPr>
        <w:t>’</w:t>
      </w:r>
      <w:r w:rsidRPr="00B94E33">
        <w:rPr>
          <w:lang w:val="fr-FR"/>
        </w:rPr>
        <w:t>u</w:t>
      </w:r>
      <w:r w:rsidR="009A3DE0" w:rsidRPr="00B94E33">
        <w:rPr>
          <w:lang w:val="fr-FR"/>
        </w:rPr>
        <w:t xml:space="preserve">ne intervention des autorités aurait </w:t>
      </w:r>
      <w:r w:rsidRPr="00B94E33">
        <w:rPr>
          <w:lang w:val="fr-FR"/>
        </w:rPr>
        <w:t>pu</w:t>
      </w:r>
      <w:r w:rsidR="009A3DE0" w:rsidRPr="00B94E33">
        <w:rPr>
          <w:lang w:val="fr-FR"/>
        </w:rPr>
        <w:t xml:space="preserve"> </w:t>
      </w:r>
      <w:r w:rsidR="0050618F" w:rsidRPr="00B94E33">
        <w:rPr>
          <w:lang w:val="fr-FR"/>
        </w:rPr>
        <w:t>contrevenir à</w:t>
      </w:r>
      <w:r w:rsidR="009A3DE0" w:rsidRPr="00B94E33">
        <w:rPr>
          <w:lang w:val="fr-FR"/>
        </w:rPr>
        <w:t xml:space="preserve"> l</w:t>
      </w:r>
      <w:r w:rsidR="00B94E33" w:rsidRPr="00B94E33">
        <w:rPr>
          <w:lang w:val="fr-FR"/>
        </w:rPr>
        <w:t>’</w:t>
      </w:r>
      <w:r w:rsidR="009A3DE0" w:rsidRPr="00B94E33">
        <w:rPr>
          <w:lang w:val="fr-FR"/>
        </w:rPr>
        <w:t>article 8 de la Convention.</w:t>
      </w:r>
    </w:p>
    <w:p w:rsidR="009A3DE0" w:rsidRPr="00B94E33" w:rsidRDefault="007F762B"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91</w:t>
      </w:r>
      <w:r w:rsidRPr="00B94E33">
        <w:rPr>
          <w:lang w:val="fr-FR"/>
        </w:rPr>
        <w:fldChar w:fldCharType="end"/>
      </w:r>
      <w:r w:rsidRPr="00B94E33">
        <w:rPr>
          <w:lang w:val="fr-FR"/>
        </w:rPr>
        <w:t xml:space="preserve">.  Selon </w:t>
      </w:r>
      <w:r w:rsidR="0050618F" w:rsidRPr="00B94E33">
        <w:rPr>
          <w:lang w:val="fr-FR"/>
        </w:rPr>
        <w:t>lui,</w:t>
      </w:r>
      <w:r w:rsidR="009A3DE0" w:rsidRPr="00B94E33">
        <w:rPr>
          <w:lang w:val="fr-FR"/>
        </w:rPr>
        <w:t xml:space="preserve"> le laps de temps </w:t>
      </w:r>
      <w:r w:rsidR="0050618F" w:rsidRPr="00B94E33">
        <w:rPr>
          <w:lang w:val="fr-FR"/>
        </w:rPr>
        <w:t xml:space="preserve">écoulé </w:t>
      </w:r>
      <w:r w:rsidR="009A3DE0" w:rsidRPr="00B94E33">
        <w:rPr>
          <w:lang w:val="fr-FR"/>
        </w:rPr>
        <w:t xml:space="preserve">entre le </w:t>
      </w:r>
      <w:r w:rsidRPr="00B94E33">
        <w:rPr>
          <w:lang w:val="fr-FR"/>
        </w:rPr>
        <w:t>dépôt</w:t>
      </w:r>
      <w:r w:rsidR="009A3DE0" w:rsidRPr="00B94E33">
        <w:rPr>
          <w:lang w:val="fr-FR"/>
        </w:rPr>
        <w:t xml:space="preserve"> de la plainte et l</w:t>
      </w:r>
      <w:r w:rsidR="00B94E33" w:rsidRPr="00B94E33">
        <w:rPr>
          <w:lang w:val="fr-FR"/>
        </w:rPr>
        <w:t>’</w:t>
      </w:r>
      <w:r w:rsidR="009A3DE0" w:rsidRPr="00B94E33">
        <w:rPr>
          <w:lang w:val="fr-FR"/>
        </w:rPr>
        <w:t xml:space="preserve">audition de la </w:t>
      </w:r>
      <w:r w:rsidRPr="00B94E33">
        <w:rPr>
          <w:lang w:val="fr-FR"/>
        </w:rPr>
        <w:t>requérante</w:t>
      </w:r>
      <w:r w:rsidR="009A3DE0" w:rsidRPr="00B94E33">
        <w:rPr>
          <w:lang w:val="fr-FR"/>
        </w:rPr>
        <w:t xml:space="preserve"> n</w:t>
      </w:r>
      <w:r w:rsidR="00B94E33" w:rsidRPr="00B94E33">
        <w:rPr>
          <w:lang w:val="fr-FR"/>
        </w:rPr>
        <w:t>’</w:t>
      </w:r>
      <w:r w:rsidR="009A3DE0" w:rsidRPr="00B94E33">
        <w:rPr>
          <w:lang w:val="fr-FR"/>
        </w:rPr>
        <w:t xml:space="preserve">a pas eu </w:t>
      </w:r>
      <w:r w:rsidR="0050618F" w:rsidRPr="00B94E33">
        <w:rPr>
          <w:lang w:val="fr-FR"/>
        </w:rPr>
        <w:t xml:space="preserve">pour </w:t>
      </w:r>
      <w:r w:rsidR="009A3DE0" w:rsidRPr="00B94E33">
        <w:rPr>
          <w:lang w:val="fr-FR"/>
        </w:rPr>
        <w:t>conséquence de laisser la requérante exposé</w:t>
      </w:r>
      <w:r w:rsidRPr="00B94E33">
        <w:rPr>
          <w:lang w:val="fr-FR"/>
        </w:rPr>
        <w:t>e</w:t>
      </w:r>
      <w:r w:rsidR="009A3DE0" w:rsidRPr="00B94E33">
        <w:rPr>
          <w:lang w:val="fr-FR"/>
        </w:rPr>
        <w:t xml:space="preserve"> </w:t>
      </w:r>
      <w:r w:rsidR="000310CA" w:rsidRPr="00B94E33">
        <w:rPr>
          <w:lang w:val="fr-FR"/>
        </w:rPr>
        <w:t>aux</w:t>
      </w:r>
      <w:r w:rsidR="009A3DE0" w:rsidRPr="00B94E33">
        <w:rPr>
          <w:lang w:val="fr-FR"/>
        </w:rPr>
        <w:t xml:space="preserve"> </w:t>
      </w:r>
      <w:r w:rsidRPr="00B94E33">
        <w:rPr>
          <w:lang w:val="fr-FR"/>
        </w:rPr>
        <w:t>violence</w:t>
      </w:r>
      <w:r w:rsidR="000310CA" w:rsidRPr="00B94E33">
        <w:rPr>
          <w:lang w:val="fr-FR"/>
        </w:rPr>
        <w:t>s</w:t>
      </w:r>
      <w:r w:rsidR="009A3DE0" w:rsidRPr="00B94E33">
        <w:rPr>
          <w:lang w:val="fr-FR"/>
        </w:rPr>
        <w:t xml:space="preserve"> de </w:t>
      </w:r>
      <w:r w:rsidRPr="00B94E33">
        <w:rPr>
          <w:lang w:val="fr-FR"/>
        </w:rPr>
        <w:t>A.T.</w:t>
      </w:r>
      <w:r w:rsidR="005B065B" w:rsidRPr="00B94E33">
        <w:rPr>
          <w:lang w:val="fr-FR"/>
        </w:rPr>
        <w:t xml:space="preserve"> </w:t>
      </w:r>
      <w:r w:rsidR="00281E87" w:rsidRPr="00B94E33">
        <w:rPr>
          <w:lang w:val="fr-FR"/>
        </w:rPr>
        <w:t>Le Gouvernement</w:t>
      </w:r>
      <w:r w:rsidR="0050618F" w:rsidRPr="00B94E33">
        <w:rPr>
          <w:lang w:val="fr-FR"/>
        </w:rPr>
        <w:t xml:space="preserve"> indique </w:t>
      </w:r>
      <w:r w:rsidR="00281E87" w:rsidRPr="00B94E33">
        <w:rPr>
          <w:lang w:val="fr-FR"/>
        </w:rPr>
        <w:t xml:space="preserve">de plus </w:t>
      </w:r>
      <w:r w:rsidR="0050618F" w:rsidRPr="00B94E33">
        <w:rPr>
          <w:lang w:val="fr-FR"/>
        </w:rPr>
        <w:t>qu</w:t>
      </w:r>
      <w:r w:rsidR="0028430A" w:rsidRPr="00B94E33">
        <w:rPr>
          <w:lang w:val="fr-FR"/>
        </w:rPr>
        <w:t xml:space="preserve">e, </w:t>
      </w:r>
      <w:r w:rsidR="0050618F" w:rsidRPr="00B94E33">
        <w:rPr>
          <w:lang w:val="fr-FR"/>
        </w:rPr>
        <w:t>a</w:t>
      </w:r>
      <w:r w:rsidR="009A3DE0" w:rsidRPr="00B94E33">
        <w:rPr>
          <w:lang w:val="fr-FR"/>
        </w:rPr>
        <w:t xml:space="preserve">ucune </w:t>
      </w:r>
      <w:r w:rsidRPr="00B94E33">
        <w:rPr>
          <w:lang w:val="fr-FR"/>
        </w:rPr>
        <w:t>autre demande d</w:t>
      </w:r>
      <w:r w:rsidR="00B94E33" w:rsidRPr="00B94E33">
        <w:rPr>
          <w:lang w:val="fr-FR"/>
        </w:rPr>
        <w:t>’</w:t>
      </w:r>
      <w:r w:rsidRPr="00B94E33">
        <w:rPr>
          <w:lang w:val="fr-FR"/>
        </w:rPr>
        <w:t>intervention n</w:t>
      </w:r>
      <w:r w:rsidR="00B94E33" w:rsidRPr="00B94E33">
        <w:rPr>
          <w:lang w:val="fr-FR"/>
        </w:rPr>
        <w:t>’</w:t>
      </w:r>
      <w:r w:rsidR="009A3DE0" w:rsidRPr="00B94E33">
        <w:rPr>
          <w:lang w:val="fr-FR"/>
        </w:rPr>
        <w:t>a</w:t>
      </w:r>
      <w:r w:rsidR="0050618F" w:rsidRPr="00B94E33">
        <w:rPr>
          <w:lang w:val="fr-FR"/>
        </w:rPr>
        <w:t>yant</w:t>
      </w:r>
      <w:r w:rsidRPr="00B94E33">
        <w:rPr>
          <w:lang w:val="fr-FR"/>
        </w:rPr>
        <w:t xml:space="preserve"> été</w:t>
      </w:r>
      <w:r w:rsidR="009A3DE0" w:rsidRPr="00B94E33">
        <w:rPr>
          <w:lang w:val="fr-FR"/>
        </w:rPr>
        <w:t xml:space="preserve"> signalée, il </w:t>
      </w:r>
      <w:r w:rsidRPr="00B94E33">
        <w:rPr>
          <w:lang w:val="fr-FR"/>
        </w:rPr>
        <w:t>n</w:t>
      </w:r>
      <w:r w:rsidR="00B94E33" w:rsidRPr="00B94E33">
        <w:rPr>
          <w:lang w:val="fr-FR"/>
        </w:rPr>
        <w:t>’</w:t>
      </w:r>
      <w:r w:rsidRPr="00B94E33">
        <w:rPr>
          <w:lang w:val="fr-FR"/>
        </w:rPr>
        <w:t>y</w:t>
      </w:r>
      <w:r w:rsidR="009A3DE0" w:rsidRPr="00B94E33">
        <w:rPr>
          <w:lang w:val="fr-FR"/>
        </w:rPr>
        <w:t xml:space="preserve"> avait </w:t>
      </w:r>
      <w:r w:rsidR="009A3DE0" w:rsidRPr="00B94E33">
        <w:rPr>
          <w:lang w:val="fr-FR"/>
        </w:rPr>
        <w:lastRenderedPageBreak/>
        <w:t xml:space="preserve">aucun signe concret </w:t>
      </w:r>
      <w:r w:rsidR="0050618F" w:rsidRPr="00B94E33">
        <w:rPr>
          <w:lang w:val="fr-FR"/>
        </w:rPr>
        <w:t xml:space="preserve">de </w:t>
      </w:r>
      <w:r w:rsidR="009A3DE0" w:rsidRPr="00B94E33">
        <w:rPr>
          <w:lang w:val="fr-FR"/>
        </w:rPr>
        <w:t>violence</w:t>
      </w:r>
      <w:r w:rsidR="000310CA" w:rsidRPr="00B94E33">
        <w:rPr>
          <w:lang w:val="fr-FR"/>
        </w:rPr>
        <w:t>s</w:t>
      </w:r>
      <w:r w:rsidR="009A3DE0" w:rsidRPr="00B94E33">
        <w:rPr>
          <w:lang w:val="fr-FR"/>
        </w:rPr>
        <w:t xml:space="preserve"> </w:t>
      </w:r>
      <w:r w:rsidRPr="00B94E33">
        <w:rPr>
          <w:lang w:val="fr-FR"/>
        </w:rPr>
        <w:t>réelle</w:t>
      </w:r>
      <w:r w:rsidR="000310CA" w:rsidRPr="00B94E33">
        <w:rPr>
          <w:lang w:val="fr-FR"/>
        </w:rPr>
        <w:t>s</w:t>
      </w:r>
      <w:r w:rsidR="009A3DE0" w:rsidRPr="00B94E33">
        <w:rPr>
          <w:lang w:val="fr-FR"/>
        </w:rPr>
        <w:t xml:space="preserve"> et </w:t>
      </w:r>
      <w:r w:rsidRPr="00B94E33">
        <w:rPr>
          <w:lang w:val="fr-FR"/>
        </w:rPr>
        <w:t>immédiate</w:t>
      </w:r>
      <w:r w:rsidR="000310CA" w:rsidRPr="00B94E33">
        <w:rPr>
          <w:lang w:val="fr-FR"/>
        </w:rPr>
        <w:t>s</w:t>
      </w:r>
      <w:r w:rsidR="009A3DE0" w:rsidRPr="00B94E33">
        <w:rPr>
          <w:lang w:val="fr-FR"/>
        </w:rPr>
        <w:t>.</w:t>
      </w:r>
      <w:r w:rsidRPr="00B94E33">
        <w:rPr>
          <w:lang w:val="fr-FR"/>
        </w:rPr>
        <w:t xml:space="preserve"> </w:t>
      </w:r>
      <w:r w:rsidR="0050618F" w:rsidRPr="00B94E33">
        <w:rPr>
          <w:lang w:val="fr-FR"/>
        </w:rPr>
        <w:t>Il ajoute que</w:t>
      </w:r>
      <w:r w:rsidRPr="00B94E33">
        <w:rPr>
          <w:lang w:val="fr-FR"/>
        </w:rPr>
        <w:t xml:space="preserve"> les autorités ont décidé </w:t>
      </w:r>
      <w:r w:rsidR="009A3DE0" w:rsidRPr="00B94E33">
        <w:rPr>
          <w:lang w:val="fr-FR"/>
        </w:rPr>
        <w:t xml:space="preserve">de ne pas </w:t>
      </w:r>
      <w:r w:rsidR="0050618F" w:rsidRPr="00B94E33">
        <w:rPr>
          <w:lang w:val="fr-FR"/>
        </w:rPr>
        <w:t>poursuivre</w:t>
      </w:r>
      <w:r w:rsidR="009A3DE0" w:rsidRPr="00B94E33">
        <w:rPr>
          <w:lang w:val="fr-FR"/>
        </w:rPr>
        <w:t xml:space="preserve"> </w:t>
      </w:r>
      <w:r w:rsidR="001372C0" w:rsidRPr="00B94E33">
        <w:rPr>
          <w:lang w:val="fr-FR"/>
        </w:rPr>
        <w:t>A.T.</w:t>
      </w:r>
      <w:r w:rsidRPr="00B94E33">
        <w:rPr>
          <w:lang w:val="fr-FR"/>
        </w:rPr>
        <w:t xml:space="preserve"> pour maltraitance familiale</w:t>
      </w:r>
      <w:r w:rsidR="0050618F" w:rsidRPr="00B94E33">
        <w:rPr>
          <w:lang w:val="fr-FR"/>
        </w:rPr>
        <w:t xml:space="preserve"> sur la base des éléments précités</w:t>
      </w:r>
      <w:r w:rsidRPr="00B94E33">
        <w:rPr>
          <w:lang w:val="fr-FR"/>
        </w:rPr>
        <w:t>.</w:t>
      </w:r>
    </w:p>
    <w:p w:rsidR="002A6B61" w:rsidRPr="00B94E33" w:rsidRDefault="00292DDB"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92</w:t>
      </w:r>
      <w:r w:rsidRPr="00B94E33">
        <w:rPr>
          <w:lang w:val="fr-FR"/>
        </w:rPr>
        <w:fldChar w:fldCharType="end"/>
      </w:r>
      <w:r w:rsidRPr="00B94E33">
        <w:rPr>
          <w:lang w:val="fr-FR"/>
        </w:rPr>
        <w:t>.  </w:t>
      </w:r>
      <w:r w:rsidR="002A6B61" w:rsidRPr="00B94E33">
        <w:rPr>
          <w:lang w:val="fr-FR"/>
        </w:rPr>
        <w:t>Le Gouvernement soutient que la requérante n</w:t>
      </w:r>
      <w:r w:rsidR="00B94E33" w:rsidRPr="00B94E33">
        <w:rPr>
          <w:lang w:val="fr-FR"/>
        </w:rPr>
        <w:t>’</w:t>
      </w:r>
      <w:r w:rsidR="002A6B61" w:rsidRPr="00B94E33">
        <w:rPr>
          <w:lang w:val="fr-FR"/>
        </w:rPr>
        <w:t>a jamais démontré avoir subi de manière continue des abus ou des violences ni avoir vécu dans la peur d</w:t>
      </w:r>
      <w:r w:rsidR="00B94E33" w:rsidRPr="00B94E33">
        <w:rPr>
          <w:lang w:val="fr-FR"/>
        </w:rPr>
        <w:t>’</w:t>
      </w:r>
      <w:r w:rsidR="002A6B61" w:rsidRPr="00B94E33">
        <w:rPr>
          <w:lang w:val="fr-FR"/>
        </w:rPr>
        <w:t>être agressée. Il indique que, en revanche, lors de son audition devant la police en avril 2013, elle a affirmé qu</w:t>
      </w:r>
      <w:r w:rsidR="00B94E33" w:rsidRPr="00B94E33">
        <w:rPr>
          <w:lang w:val="fr-FR"/>
        </w:rPr>
        <w:t>’</w:t>
      </w:r>
      <w:r w:rsidR="002A6B61" w:rsidRPr="00B94E33">
        <w:rPr>
          <w:lang w:val="fr-FR"/>
        </w:rPr>
        <w:t>elle ne subissait plus de violences.</w:t>
      </w:r>
    </w:p>
    <w:p w:rsidR="002A6B61" w:rsidRPr="00B94E33" w:rsidRDefault="00292DDB"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93</w:t>
      </w:r>
      <w:r w:rsidRPr="00B94E33">
        <w:rPr>
          <w:lang w:val="fr-FR"/>
        </w:rPr>
        <w:fldChar w:fldCharType="end"/>
      </w:r>
      <w:r w:rsidRPr="00B94E33">
        <w:rPr>
          <w:lang w:val="fr-FR"/>
        </w:rPr>
        <w:t>.  </w:t>
      </w:r>
      <w:r w:rsidR="002A6B61" w:rsidRPr="00B94E33">
        <w:rPr>
          <w:lang w:val="fr-FR"/>
        </w:rPr>
        <w:t>Par conséquent, le Gouvernement estime que les actes de violence prétendument subis par la requérante ne peuvent pas être qualifiés de traitements inhumains et dégradants.</w:t>
      </w:r>
    </w:p>
    <w:p w:rsidR="002A6B61" w:rsidRPr="00B94E33" w:rsidRDefault="002A6B61"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94</w:t>
      </w:r>
      <w:r w:rsidRPr="00B94E33">
        <w:rPr>
          <w:lang w:val="fr-FR"/>
        </w:rPr>
        <w:fldChar w:fldCharType="end"/>
      </w:r>
      <w:r w:rsidRPr="00B94E33">
        <w:rPr>
          <w:lang w:val="fr-FR"/>
        </w:rPr>
        <w:t>.  Du point de vue procédural, le Gouvernement estime avoir rempli ses obligations positives découlant de la Convention. Il indique que, à la suite de l</w:t>
      </w:r>
      <w:r w:rsidR="00B94E33" w:rsidRPr="00B94E33">
        <w:rPr>
          <w:lang w:val="fr-FR"/>
        </w:rPr>
        <w:t>’</w:t>
      </w:r>
      <w:r w:rsidRPr="00B94E33">
        <w:rPr>
          <w:lang w:val="fr-FR"/>
        </w:rPr>
        <w:t>enquête, la requérante ayant modifié ses déclarations, le parquet a dû demander le classement de la plainte. Il ajoute que, par ailleurs, la procédure a continué pour le délit de lésions corporelles et que A.T. a été condamné le 1</w:t>
      </w:r>
      <w:r w:rsidRPr="00B94E33">
        <w:rPr>
          <w:vertAlign w:val="superscript"/>
          <w:lang w:val="fr-FR"/>
        </w:rPr>
        <w:t>er</w:t>
      </w:r>
      <w:r w:rsidRPr="00B94E33">
        <w:rPr>
          <w:lang w:val="fr-FR"/>
        </w:rPr>
        <w:t xml:space="preserve"> octobre 2015 à payer une amende de 2 000 EUR.</w:t>
      </w:r>
    </w:p>
    <w:p w:rsidR="00CC36F6" w:rsidRPr="00B94E33" w:rsidRDefault="003C5A00" w:rsidP="00B94E33">
      <w:pPr>
        <w:pStyle w:val="ECHRHeading2"/>
        <w:rPr>
          <w:lang w:val="fr-FR"/>
        </w:rPr>
      </w:pPr>
      <w:r w:rsidRPr="00B94E33">
        <w:rPr>
          <w:lang w:val="fr-FR"/>
        </w:rPr>
        <w:t>C</w:t>
      </w:r>
      <w:r w:rsidR="0050618F" w:rsidRPr="00B94E33">
        <w:rPr>
          <w:lang w:val="fr-FR"/>
        </w:rPr>
        <w:t>.  </w:t>
      </w:r>
      <w:r w:rsidR="00287440" w:rsidRPr="00B94E33">
        <w:rPr>
          <w:lang w:val="fr-FR"/>
        </w:rPr>
        <w:t>Appréciation</w:t>
      </w:r>
      <w:r w:rsidR="00CC36F6" w:rsidRPr="00B94E33">
        <w:rPr>
          <w:lang w:val="fr-FR"/>
        </w:rPr>
        <w:t xml:space="preserve"> de la Cour</w:t>
      </w:r>
    </w:p>
    <w:p w:rsidR="00292DDB" w:rsidRPr="00B94E33" w:rsidRDefault="0056713F" w:rsidP="00B94E33">
      <w:pPr>
        <w:pStyle w:val="ECHRHeading3"/>
        <w:rPr>
          <w:lang w:val="fr-FR"/>
        </w:rPr>
      </w:pPr>
      <w:r w:rsidRPr="00B94E33">
        <w:rPr>
          <w:lang w:val="fr-FR"/>
        </w:rPr>
        <w:t>1.</w:t>
      </w:r>
      <w:r w:rsidR="00EB1AD3" w:rsidRPr="00B94E33">
        <w:rPr>
          <w:lang w:val="fr-FR"/>
        </w:rPr>
        <w:t>  </w:t>
      </w:r>
      <w:r w:rsidR="00292DDB" w:rsidRPr="00B94E33">
        <w:rPr>
          <w:lang w:val="fr-FR"/>
        </w:rPr>
        <w:t>Principes applicables</w:t>
      </w:r>
    </w:p>
    <w:p w:rsidR="00292DDB" w:rsidRPr="00B94E33" w:rsidRDefault="00292DDB" w:rsidP="00B94E33">
      <w:pPr>
        <w:pStyle w:val="ECHRPara"/>
        <w:rPr>
          <w:rFonts w:ascii="Times New Roman" w:eastAsia="Times New Roman" w:hAnsi="Times New Roman" w:cs="Times New Roman"/>
          <w:szCs w:val="24"/>
          <w:lang w:val="fr-FR"/>
        </w:rPr>
      </w:pPr>
      <w:r w:rsidRPr="00B94E33">
        <w:rPr>
          <w:rFonts w:ascii="Times New Roman" w:eastAsia="Times New Roman" w:hAnsi="Times New Roman" w:cs="Times New Roman"/>
          <w:szCs w:val="24"/>
          <w:lang w:val="fr-FR"/>
        </w:rPr>
        <w:fldChar w:fldCharType="begin"/>
      </w:r>
      <w:r w:rsidRPr="00B94E33">
        <w:rPr>
          <w:rFonts w:ascii="Times New Roman" w:eastAsia="Times New Roman" w:hAnsi="Times New Roman" w:cs="Times New Roman"/>
          <w:szCs w:val="24"/>
          <w:lang w:val="fr-FR"/>
        </w:rPr>
        <w:instrText xml:space="preserve"> SEQ level0 \*arabic </w:instrText>
      </w:r>
      <w:r w:rsidRPr="00B94E33">
        <w:rPr>
          <w:rFonts w:ascii="Times New Roman" w:eastAsia="Times New Roman" w:hAnsi="Times New Roman" w:cs="Times New Roman"/>
          <w:szCs w:val="24"/>
          <w:lang w:val="fr-FR"/>
        </w:rPr>
        <w:fldChar w:fldCharType="separate"/>
      </w:r>
      <w:r w:rsidR="00B94E33" w:rsidRPr="00B94E33">
        <w:rPr>
          <w:rFonts w:ascii="Times New Roman" w:eastAsia="Times New Roman" w:hAnsi="Times New Roman" w:cs="Times New Roman"/>
          <w:noProof/>
          <w:szCs w:val="24"/>
          <w:lang w:val="fr-FR"/>
        </w:rPr>
        <w:t>95</w:t>
      </w:r>
      <w:r w:rsidRPr="00B94E33">
        <w:rPr>
          <w:rFonts w:ascii="Times New Roman" w:eastAsia="Times New Roman" w:hAnsi="Times New Roman" w:cs="Times New Roman"/>
          <w:szCs w:val="24"/>
          <w:lang w:val="fr-FR"/>
        </w:rPr>
        <w:fldChar w:fldCharType="end"/>
      </w:r>
      <w:r w:rsidRPr="00B94E33">
        <w:rPr>
          <w:rFonts w:ascii="Times New Roman" w:eastAsia="Times New Roman" w:hAnsi="Times New Roman" w:cs="Times New Roman"/>
          <w:szCs w:val="24"/>
          <w:lang w:val="fr-FR"/>
        </w:rPr>
        <w:t>.  La Cour examinera les griefs sous l</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angle des articles 2 et 3 de la Convention à la lumière des principes convergents découlant de l</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une et de l</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 xml:space="preserve">autre de ces dispositions, principes bien établis en la matière et résumés, entre autres, dans les arrêts </w:t>
      </w:r>
      <w:r w:rsidRPr="00B94E33">
        <w:rPr>
          <w:rFonts w:ascii="Times New Roman" w:eastAsia="Times New Roman" w:hAnsi="Times New Roman" w:cs="Times New Roman"/>
          <w:i/>
          <w:szCs w:val="24"/>
          <w:lang w:val="fr-FR"/>
        </w:rPr>
        <w:t>Natchova et autres c. Bulgarie</w:t>
      </w:r>
      <w:r w:rsidRPr="00B94E33">
        <w:rPr>
          <w:rFonts w:ascii="Times New Roman" w:eastAsia="Times New Roman" w:hAnsi="Times New Roman" w:cs="Times New Roman"/>
          <w:szCs w:val="24"/>
          <w:lang w:val="fr-FR"/>
        </w:rPr>
        <w:t xml:space="preserve"> ([GC], </w:t>
      </w:r>
      <w:r w:rsidR="00E85EF2" w:rsidRPr="00B94E33">
        <w:rPr>
          <w:rFonts w:ascii="Times New Roman" w:hAnsi="Times New Roman" w:cs="Times New Roman"/>
          <w:szCs w:val="24"/>
          <w:lang w:val="fr-FR"/>
        </w:rPr>
        <w:t>n</w:t>
      </w:r>
      <w:r w:rsidR="00E85EF2" w:rsidRPr="00B94E33">
        <w:rPr>
          <w:rFonts w:ascii="Times New Roman" w:hAnsi="Times New Roman" w:cs="Times New Roman"/>
          <w:szCs w:val="24"/>
          <w:vertAlign w:val="superscript"/>
          <w:lang w:val="fr-FR"/>
        </w:rPr>
        <w:t>os</w:t>
      </w:r>
      <w:r w:rsidR="004B08DB" w:rsidRPr="00B94E33">
        <w:rPr>
          <w:rFonts w:ascii="Times New Roman" w:hAnsi="Times New Roman" w:cs="Times New Roman"/>
          <w:szCs w:val="24"/>
          <w:vertAlign w:val="superscript"/>
          <w:lang w:val="fr-FR"/>
        </w:rPr>
        <w:t> </w:t>
      </w:r>
      <w:hyperlink r:id="rId22" w:anchor="{&quot;appno&quot;:[&quot;43577/98&quot;]}" w:tgtFrame="_blank" w:history="1">
        <w:r w:rsidRPr="00B94E33">
          <w:rPr>
            <w:rFonts w:ascii="Times New Roman" w:eastAsia="Times New Roman" w:hAnsi="Times New Roman" w:cs="Times New Roman"/>
            <w:szCs w:val="24"/>
            <w:lang w:val="fr-FR"/>
          </w:rPr>
          <w:t>43577/98</w:t>
        </w:r>
      </w:hyperlink>
      <w:r w:rsidRPr="00B94E33">
        <w:rPr>
          <w:rFonts w:ascii="Times New Roman" w:eastAsia="Times New Roman" w:hAnsi="Times New Roman" w:cs="Times New Roman"/>
          <w:szCs w:val="24"/>
          <w:lang w:val="fr-FR"/>
        </w:rPr>
        <w:t xml:space="preserve"> et </w:t>
      </w:r>
      <w:hyperlink r:id="rId23" w:anchor="{&quot;appno&quot;:[&quot;43579/98&quot;]}" w:tgtFrame="_blank" w:history="1">
        <w:r w:rsidRPr="00B94E33">
          <w:rPr>
            <w:rFonts w:ascii="Times New Roman" w:eastAsia="Times New Roman" w:hAnsi="Times New Roman" w:cs="Times New Roman"/>
            <w:szCs w:val="24"/>
            <w:lang w:val="fr-FR"/>
          </w:rPr>
          <w:t>43579/98</w:t>
        </w:r>
      </w:hyperlink>
      <w:r w:rsidRPr="00B94E33">
        <w:rPr>
          <w:rFonts w:ascii="Times New Roman" w:eastAsia="Times New Roman" w:hAnsi="Times New Roman" w:cs="Times New Roman"/>
          <w:szCs w:val="24"/>
          <w:lang w:val="fr-FR"/>
        </w:rPr>
        <w:t xml:space="preserve">, §§ 110 et 112-113, CEDH 2005-VII), </w:t>
      </w:r>
      <w:r w:rsidRPr="00B94E33">
        <w:rPr>
          <w:rFonts w:ascii="Times New Roman" w:eastAsia="Times New Roman" w:hAnsi="Times New Roman" w:cs="Times New Roman"/>
          <w:i/>
          <w:szCs w:val="24"/>
          <w:lang w:val="fr-FR"/>
        </w:rPr>
        <w:t>Ramsahai et autres c.</w:t>
      </w:r>
      <w:r w:rsidR="004B08DB" w:rsidRPr="00B94E33">
        <w:rPr>
          <w:rFonts w:ascii="Times New Roman" w:eastAsia="Times New Roman" w:hAnsi="Times New Roman" w:cs="Times New Roman"/>
          <w:i/>
          <w:szCs w:val="24"/>
          <w:lang w:val="fr-FR"/>
        </w:rPr>
        <w:t> </w:t>
      </w:r>
      <w:r w:rsidRPr="00B94E33">
        <w:rPr>
          <w:rFonts w:ascii="Times New Roman" w:eastAsia="Times New Roman" w:hAnsi="Times New Roman" w:cs="Times New Roman"/>
          <w:i/>
          <w:szCs w:val="24"/>
          <w:lang w:val="fr-FR"/>
        </w:rPr>
        <w:t xml:space="preserve">Pays-Bas </w:t>
      </w:r>
      <w:r w:rsidRPr="00B94E33">
        <w:rPr>
          <w:rFonts w:ascii="Times New Roman" w:eastAsia="Times New Roman" w:hAnsi="Times New Roman" w:cs="Times New Roman"/>
          <w:szCs w:val="24"/>
          <w:lang w:val="fr-FR"/>
        </w:rPr>
        <w:t xml:space="preserve">([GC], </w:t>
      </w:r>
      <w:r w:rsidR="00E85EF2" w:rsidRPr="00B94E33">
        <w:rPr>
          <w:rFonts w:ascii="Times New Roman" w:eastAsia="Times New Roman" w:hAnsi="Times New Roman" w:cs="Times New Roman"/>
          <w:szCs w:val="24"/>
          <w:lang w:val="fr-FR"/>
        </w:rPr>
        <w:t>n</w:t>
      </w:r>
      <w:r w:rsidR="00E85EF2" w:rsidRPr="00B94E33">
        <w:rPr>
          <w:rFonts w:ascii="Times New Roman" w:eastAsia="Times New Roman" w:hAnsi="Times New Roman" w:cs="Times New Roman"/>
          <w:szCs w:val="24"/>
          <w:vertAlign w:val="superscript"/>
          <w:lang w:val="fr-FR"/>
        </w:rPr>
        <w:t>o</w:t>
      </w:r>
      <w:r w:rsidRPr="00B94E33">
        <w:rPr>
          <w:rFonts w:ascii="Times New Roman" w:eastAsia="Times New Roman" w:hAnsi="Times New Roman" w:cs="Times New Roman"/>
          <w:szCs w:val="24"/>
          <w:lang w:val="fr-FR"/>
        </w:rPr>
        <w:t xml:space="preserve"> </w:t>
      </w:r>
      <w:hyperlink r:id="rId24" w:anchor="{&quot;appno&quot;:[&quot;52391/99&quot;]}" w:tgtFrame="_blank" w:history="1">
        <w:r w:rsidRPr="00B94E33">
          <w:rPr>
            <w:rFonts w:ascii="Times New Roman" w:eastAsia="Times New Roman" w:hAnsi="Times New Roman" w:cs="Times New Roman"/>
            <w:szCs w:val="24"/>
            <w:lang w:val="fr-FR"/>
          </w:rPr>
          <w:t>52391/99</w:t>
        </w:r>
      </w:hyperlink>
      <w:r w:rsidR="00766526" w:rsidRPr="00B94E33">
        <w:rPr>
          <w:rFonts w:ascii="Times New Roman" w:eastAsia="Times New Roman" w:hAnsi="Times New Roman" w:cs="Times New Roman"/>
          <w:szCs w:val="24"/>
          <w:lang w:val="fr-FR"/>
        </w:rPr>
        <w:t>, §§ 324-325, CEDH 2007</w:t>
      </w:r>
      <w:r w:rsidR="00766526" w:rsidRPr="00B94E33">
        <w:rPr>
          <w:rFonts w:ascii="Times New Roman" w:eastAsia="Times New Roman" w:hAnsi="Times New Roman" w:cs="Times New Roman"/>
          <w:szCs w:val="24"/>
          <w:lang w:val="fr-FR"/>
        </w:rPr>
        <w:noBreakHyphen/>
        <w:t>II).</w:t>
      </w:r>
    </w:p>
    <w:p w:rsidR="00292DDB" w:rsidRPr="00B94E33" w:rsidRDefault="00292DDB" w:rsidP="00B94E33">
      <w:pPr>
        <w:pStyle w:val="ECHRPara"/>
        <w:rPr>
          <w:rFonts w:ascii="Times New Roman" w:eastAsia="Times New Roman" w:hAnsi="Times New Roman" w:cs="Times New Roman"/>
          <w:szCs w:val="24"/>
          <w:lang w:val="fr-FR"/>
        </w:rPr>
      </w:pPr>
      <w:r w:rsidRPr="00B94E33">
        <w:rPr>
          <w:rFonts w:ascii="Times New Roman" w:eastAsia="Times New Roman" w:hAnsi="Times New Roman" w:cs="Times New Roman"/>
          <w:szCs w:val="24"/>
          <w:lang w:val="fr-FR"/>
        </w:rPr>
        <w:fldChar w:fldCharType="begin"/>
      </w:r>
      <w:r w:rsidRPr="00B94E33">
        <w:rPr>
          <w:rFonts w:ascii="Times New Roman" w:eastAsia="Times New Roman" w:hAnsi="Times New Roman" w:cs="Times New Roman"/>
          <w:szCs w:val="24"/>
          <w:lang w:val="fr-FR"/>
        </w:rPr>
        <w:instrText xml:space="preserve"> SEQ level0 \*arabic </w:instrText>
      </w:r>
      <w:r w:rsidRPr="00B94E33">
        <w:rPr>
          <w:rFonts w:ascii="Times New Roman" w:eastAsia="Times New Roman" w:hAnsi="Times New Roman" w:cs="Times New Roman"/>
          <w:szCs w:val="24"/>
          <w:lang w:val="fr-FR"/>
        </w:rPr>
        <w:fldChar w:fldCharType="separate"/>
      </w:r>
      <w:r w:rsidR="00B94E33" w:rsidRPr="00B94E33">
        <w:rPr>
          <w:rFonts w:ascii="Times New Roman" w:eastAsia="Times New Roman" w:hAnsi="Times New Roman" w:cs="Times New Roman"/>
          <w:noProof/>
          <w:szCs w:val="24"/>
          <w:lang w:val="fr-FR"/>
        </w:rPr>
        <w:t>96</w:t>
      </w:r>
      <w:r w:rsidRPr="00B94E33">
        <w:rPr>
          <w:rFonts w:ascii="Times New Roman" w:eastAsia="Times New Roman" w:hAnsi="Times New Roman" w:cs="Times New Roman"/>
          <w:szCs w:val="24"/>
          <w:lang w:val="fr-FR"/>
        </w:rPr>
        <w:fldChar w:fldCharType="end"/>
      </w:r>
      <w:r w:rsidRPr="00B94E33">
        <w:rPr>
          <w:rFonts w:ascii="Times New Roman" w:eastAsia="Times New Roman" w:hAnsi="Times New Roman" w:cs="Times New Roman"/>
          <w:szCs w:val="24"/>
          <w:lang w:val="fr-FR"/>
        </w:rPr>
        <w:t>.  La Cour a déjà précisé qu</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elle doit interpréter les articles 2 et 3 en gardant à l</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esprit que l</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objet et le but de la Convention, en tant qu</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instrument de protection des êtres humains, appellent à comprendre et appliquer ses dispositions d</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une manière qui en rende les exigences concrètes et effectives.</w:t>
      </w:r>
    </w:p>
    <w:p w:rsidR="00292DDB" w:rsidRPr="00B94E33" w:rsidRDefault="00292DDB" w:rsidP="00B94E33">
      <w:pPr>
        <w:pStyle w:val="ECHRPara"/>
        <w:rPr>
          <w:rFonts w:ascii="Times New Roman" w:eastAsia="Times New Roman" w:hAnsi="Times New Roman" w:cs="Times New Roman"/>
          <w:szCs w:val="24"/>
          <w:lang w:val="fr-FR"/>
        </w:rPr>
      </w:pPr>
      <w:r w:rsidRPr="00B94E33">
        <w:rPr>
          <w:rFonts w:ascii="Times New Roman" w:eastAsia="Times New Roman" w:hAnsi="Times New Roman" w:cs="Times New Roman"/>
          <w:szCs w:val="24"/>
          <w:lang w:val="fr-FR"/>
        </w:rPr>
        <w:fldChar w:fldCharType="begin"/>
      </w:r>
      <w:r w:rsidRPr="00B94E33">
        <w:rPr>
          <w:rFonts w:ascii="Times New Roman" w:eastAsia="Times New Roman" w:hAnsi="Times New Roman" w:cs="Times New Roman"/>
          <w:szCs w:val="24"/>
          <w:lang w:val="fr-FR"/>
        </w:rPr>
        <w:instrText xml:space="preserve"> SEQ level0 \*arabic </w:instrText>
      </w:r>
      <w:r w:rsidRPr="00B94E33">
        <w:rPr>
          <w:rFonts w:ascii="Times New Roman" w:eastAsia="Times New Roman" w:hAnsi="Times New Roman" w:cs="Times New Roman"/>
          <w:szCs w:val="24"/>
          <w:lang w:val="fr-FR"/>
        </w:rPr>
        <w:fldChar w:fldCharType="separate"/>
      </w:r>
      <w:r w:rsidR="00B94E33" w:rsidRPr="00B94E33">
        <w:rPr>
          <w:rFonts w:ascii="Times New Roman" w:eastAsia="Times New Roman" w:hAnsi="Times New Roman" w:cs="Times New Roman"/>
          <w:noProof/>
          <w:szCs w:val="24"/>
          <w:lang w:val="fr-FR"/>
        </w:rPr>
        <w:t>97</w:t>
      </w:r>
      <w:r w:rsidRPr="00B94E33">
        <w:rPr>
          <w:rFonts w:ascii="Times New Roman" w:eastAsia="Times New Roman" w:hAnsi="Times New Roman" w:cs="Times New Roman"/>
          <w:szCs w:val="24"/>
          <w:lang w:val="fr-FR"/>
        </w:rPr>
        <w:fldChar w:fldCharType="end"/>
      </w:r>
      <w:r w:rsidRPr="00B94E33">
        <w:rPr>
          <w:rFonts w:ascii="Times New Roman" w:eastAsia="Times New Roman" w:hAnsi="Times New Roman" w:cs="Times New Roman"/>
          <w:szCs w:val="24"/>
          <w:lang w:val="fr-FR"/>
        </w:rPr>
        <w:t>.  Elle rappelle que tout comme l</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article 2, l</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article 3 doit être considéré comme l</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une des clauses primordiales de la Convention consacrant l</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une des valeurs fondamentales des sociétés démocratiques qui forment le Conseil de l</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Europe (</w:t>
      </w:r>
      <w:r w:rsidRPr="00B94E33">
        <w:rPr>
          <w:rFonts w:ascii="Times New Roman" w:eastAsia="Times New Roman" w:hAnsi="Times New Roman" w:cs="Times New Roman"/>
          <w:i/>
          <w:szCs w:val="24"/>
          <w:lang w:val="fr-FR"/>
        </w:rPr>
        <w:t>Soering c. Royaume-Uni</w:t>
      </w:r>
      <w:r w:rsidRPr="00B94E33">
        <w:rPr>
          <w:rFonts w:ascii="Times New Roman" w:eastAsia="Times New Roman" w:hAnsi="Times New Roman" w:cs="Times New Roman"/>
          <w:szCs w:val="24"/>
          <w:lang w:val="fr-FR"/>
        </w:rPr>
        <w:t xml:space="preserve">, arrêt du 7 juillet 1989, série A </w:t>
      </w:r>
      <w:r w:rsidR="00E85EF2" w:rsidRPr="00B94E33">
        <w:rPr>
          <w:rFonts w:ascii="Times New Roman" w:eastAsia="Times New Roman" w:hAnsi="Times New Roman" w:cs="Times New Roman"/>
          <w:szCs w:val="24"/>
          <w:lang w:val="fr-FR"/>
        </w:rPr>
        <w:t>n</w:t>
      </w:r>
      <w:r w:rsidR="00E85EF2" w:rsidRPr="00B94E33">
        <w:rPr>
          <w:rFonts w:ascii="Times New Roman" w:eastAsia="Times New Roman" w:hAnsi="Times New Roman" w:cs="Times New Roman"/>
          <w:szCs w:val="24"/>
          <w:vertAlign w:val="superscript"/>
          <w:lang w:val="fr-FR"/>
        </w:rPr>
        <w:t>o</w:t>
      </w:r>
      <w:r w:rsidR="009A4363" w:rsidRPr="00B94E33">
        <w:rPr>
          <w:rFonts w:ascii="Times New Roman" w:eastAsia="Times New Roman" w:hAnsi="Times New Roman" w:cs="Times New Roman"/>
          <w:szCs w:val="24"/>
          <w:lang w:val="fr-FR"/>
        </w:rPr>
        <w:t xml:space="preserve"> 161, p. </w:t>
      </w:r>
      <w:r w:rsidRPr="00B94E33">
        <w:rPr>
          <w:rFonts w:ascii="Times New Roman" w:eastAsia="Times New Roman" w:hAnsi="Times New Roman" w:cs="Times New Roman"/>
          <w:szCs w:val="24"/>
          <w:lang w:val="fr-FR"/>
        </w:rPr>
        <w:t>34, § 88). Contrastant avec les autres dispositions de la Convention, il est libellé en termes absolus, ne prévoyant ni exceptions ni limitations, et conformément à l</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article 15 de la Convention il ne souffre nulle dérogation (</w:t>
      </w:r>
      <w:r w:rsidR="00136A16" w:rsidRPr="00B94E33">
        <w:rPr>
          <w:rFonts w:ascii="Times New Roman" w:eastAsia="Times New Roman" w:hAnsi="Times New Roman" w:cs="Times New Roman"/>
          <w:i/>
          <w:szCs w:val="24"/>
          <w:lang w:val="fr-FR"/>
        </w:rPr>
        <w:t xml:space="preserve">Pretty c. Royaume-Uni, </w:t>
      </w:r>
      <w:r w:rsidR="00136A16" w:rsidRPr="00B94E33">
        <w:rPr>
          <w:rFonts w:ascii="Times New Roman" w:eastAsia="Times New Roman" w:hAnsi="Times New Roman" w:cs="Times New Roman"/>
          <w:szCs w:val="24"/>
          <w:lang w:val="fr-FR"/>
        </w:rPr>
        <w:t xml:space="preserve">no </w:t>
      </w:r>
      <w:hyperlink r:id="rId25" w:anchor="{&quot;appno&quot;:[&quot;2346/02&quot;]}" w:tgtFrame="_blank" w:history="1">
        <w:r w:rsidR="00136A16" w:rsidRPr="00B94E33">
          <w:rPr>
            <w:rStyle w:val="Collegamentoipertestuale"/>
            <w:rFonts w:ascii="Times New Roman" w:eastAsia="Times New Roman" w:hAnsi="Times New Roman" w:cs="Times New Roman"/>
            <w:color w:val="auto"/>
            <w:szCs w:val="24"/>
            <w:u w:val="none"/>
            <w:lang w:val="fr-FR"/>
          </w:rPr>
          <w:t>2346/02</w:t>
        </w:r>
      </w:hyperlink>
      <w:r w:rsidR="00136A16" w:rsidRPr="00B94E33">
        <w:rPr>
          <w:rFonts w:ascii="Times New Roman" w:eastAsia="Times New Roman" w:hAnsi="Times New Roman" w:cs="Times New Roman"/>
          <w:szCs w:val="24"/>
          <w:lang w:val="fr-FR"/>
        </w:rPr>
        <w:t>, § 49, CEDH 2002</w:t>
      </w:r>
      <w:r w:rsidR="00136A16" w:rsidRPr="00B94E33">
        <w:rPr>
          <w:rFonts w:ascii="Times New Roman" w:eastAsia="Times New Roman" w:hAnsi="Times New Roman" w:cs="Times New Roman"/>
          <w:szCs w:val="24"/>
          <w:lang w:val="fr-FR"/>
        </w:rPr>
        <w:noBreakHyphen/>
        <w:t>III</w:t>
      </w:r>
      <w:r w:rsidRPr="00B94E33">
        <w:rPr>
          <w:rFonts w:ascii="Times New Roman" w:eastAsia="Times New Roman" w:hAnsi="Times New Roman" w:cs="Times New Roman"/>
          <w:szCs w:val="24"/>
          <w:lang w:val="fr-FR"/>
        </w:rPr>
        <w:t>).</w:t>
      </w:r>
    </w:p>
    <w:p w:rsidR="0049330A" w:rsidRPr="00B94E33" w:rsidRDefault="0049330A" w:rsidP="00B94E33">
      <w:pPr>
        <w:pStyle w:val="ECHRPara"/>
        <w:rPr>
          <w:rFonts w:ascii="Times New Roman" w:hAnsi="Times New Roman" w:cs="Times New Roman"/>
          <w:szCs w:val="24"/>
          <w:lang w:val="fr-FR"/>
        </w:rPr>
      </w:pPr>
      <w:r w:rsidRPr="00B94E33">
        <w:rPr>
          <w:rFonts w:ascii="Times New Roman" w:eastAsia="Times New Roman" w:hAnsi="Times New Roman" w:cs="Times New Roman"/>
          <w:szCs w:val="24"/>
          <w:lang w:val="fr-FR"/>
        </w:rPr>
        <w:fldChar w:fldCharType="begin"/>
      </w:r>
      <w:r w:rsidRPr="00B94E33">
        <w:rPr>
          <w:rFonts w:ascii="Times New Roman" w:eastAsia="Times New Roman" w:hAnsi="Times New Roman" w:cs="Times New Roman"/>
          <w:szCs w:val="24"/>
          <w:lang w:val="fr-FR"/>
        </w:rPr>
        <w:instrText xml:space="preserve"> SEQ level0 \*arabic </w:instrText>
      </w:r>
      <w:r w:rsidRPr="00B94E33">
        <w:rPr>
          <w:rFonts w:ascii="Times New Roman" w:eastAsia="Times New Roman" w:hAnsi="Times New Roman" w:cs="Times New Roman"/>
          <w:szCs w:val="24"/>
          <w:lang w:val="fr-FR"/>
        </w:rPr>
        <w:fldChar w:fldCharType="separate"/>
      </w:r>
      <w:r w:rsidR="00B94E33" w:rsidRPr="00B94E33">
        <w:rPr>
          <w:rFonts w:ascii="Times New Roman" w:eastAsia="Times New Roman" w:hAnsi="Times New Roman" w:cs="Times New Roman"/>
          <w:noProof/>
          <w:szCs w:val="24"/>
          <w:lang w:val="fr-FR"/>
        </w:rPr>
        <w:t>98</w:t>
      </w:r>
      <w:r w:rsidRPr="00B94E33">
        <w:rPr>
          <w:rFonts w:ascii="Times New Roman" w:eastAsia="Times New Roman" w:hAnsi="Times New Roman" w:cs="Times New Roman"/>
          <w:szCs w:val="24"/>
          <w:lang w:val="fr-FR"/>
        </w:rPr>
        <w:fldChar w:fldCharType="end"/>
      </w:r>
      <w:r w:rsidRPr="00B94E33">
        <w:rPr>
          <w:rFonts w:ascii="Times New Roman" w:eastAsia="Times New Roman" w:hAnsi="Times New Roman" w:cs="Times New Roman"/>
          <w:szCs w:val="24"/>
          <w:lang w:val="fr-FR"/>
        </w:rPr>
        <w:t xml:space="preserve">.  La Cour rappelle </w:t>
      </w:r>
      <w:r w:rsidR="00291991" w:rsidRPr="00B94E33">
        <w:rPr>
          <w:rFonts w:ascii="Times New Roman" w:eastAsia="Times New Roman" w:hAnsi="Times New Roman" w:cs="Times New Roman"/>
          <w:szCs w:val="24"/>
          <w:lang w:val="fr-FR"/>
        </w:rPr>
        <w:t>également</w:t>
      </w:r>
      <w:r w:rsidRPr="00B94E33">
        <w:rPr>
          <w:rFonts w:ascii="Times New Roman" w:eastAsia="Times New Roman" w:hAnsi="Times New Roman" w:cs="Times New Roman"/>
          <w:szCs w:val="24"/>
          <w:lang w:val="fr-FR"/>
        </w:rPr>
        <w:t xml:space="preserve"> les principes généraux qui se dégagent de sa </w:t>
      </w:r>
      <w:r w:rsidRPr="00B94E33">
        <w:rPr>
          <w:rFonts w:ascii="Times New Roman" w:hAnsi="Times New Roman" w:cs="Times New Roman"/>
          <w:szCs w:val="24"/>
          <w:lang w:val="fr-FR"/>
        </w:rPr>
        <w:t>jurisprudence en matière de violences domestiques tels qu</w:t>
      </w:r>
      <w:r w:rsidR="00B94E33" w:rsidRPr="00B94E33">
        <w:rPr>
          <w:rFonts w:ascii="Times New Roman" w:hAnsi="Times New Roman" w:cs="Times New Roman"/>
          <w:szCs w:val="24"/>
          <w:lang w:val="fr-FR"/>
        </w:rPr>
        <w:t>’</w:t>
      </w:r>
      <w:r w:rsidRPr="00B94E33">
        <w:rPr>
          <w:rFonts w:ascii="Times New Roman" w:hAnsi="Times New Roman" w:cs="Times New Roman"/>
          <w:szCs w:val="24"/>
          <w:lang w:val="fr-FR"/>
        </w:rPr>
        <w:t xml:space="preserve">énoncés </w:t>
      </w:r>
      <w:r w:rsidRPr="00B94E33">
        <w:rPr>
          <w:rFonts w:ascii="Times New Roman" w:hAnsi="Times New Roman" w:cs="Times New Roman"/>
          <w:szCs w:val="24"/>
          <w:lang w:val="fr-FR"/>
        </w:rPr>
        <w:lastRenderedPageBreak/>
        <w:t>dans l</w:t>
      </w:r>
      <w:r w:rsidR="00B94E33" w:rsidRPr="00B94E33">
        <w:rPr>
          <w:rFonts w:ascii="Times New Roman" w:hAnsi="Times New Roman" w:cs="Times New Roman"/>
          <w:szCs w:val="24"/>
          <w:lang w:val="fr-FR"/>
        </w:rPr>
        <w:t>’</w:t>
      </w:r>
      <w:r w:rsidRPr="00B94E33">
        <w:rPr>
          <w:rFonts w:ascii="Times New Roman" w:hAnsi="Times New Roman" w:cs="Times New Roman"/>
          <w:szCs w:val="24"/>
          <w:lang w:val="fr-FR"/>
        </w:rPr>
        <w:t xml:space="preserve">affaire </w:t>
      </w:r>
      <w:r w:rsidRPr="00B94E33">
        <w:rPr>
          <w:rFonts w:ascii="Times New Roman" w:hAnsi="Times New Roman" w:cs="Times New Roman"/>
          <w:i/>
          <w:szCs w:val="24"/>
          <w:lang w:val="fr-FR"/>
        </w:rPr>
        <w:t>Opuz</w:t>
      </w:r>
      <w:r w:rsidRPr="00B94E33">
        <w:rPr>
          <w:rFonts w:ascii="Times New Roman" w:hAnsi="Times New Roman" w:cs="Times New Roman"/>
          <w:szCs w:val="24"/>
          <w:lang w:val="fr-FR"/>
        </w:rPr>
        <w:t xml:space="preserve"> (arrêt précité, § 159, avec les références jurisprudentielles y mentionnées).</w:t>
      </w:r>
    </w:p>
    <w:p w:rsidR="0049330A" w:rsidRPr="00B94E33" w:rsidRDefault="0049330A" w:rsidP="00B94E33">
      <w:pPr>
        <w:pStyle w:val="ECHRPara"/>
        <w:rPr>
          <w:rFonts w:ascii="Times New Roman" w:hAnsi="Times New Roman" w:cs="Times New Roman"/>
          <w:szCs w:val="24"/>
          <w:lang w:val="fr-FR"/>
        </w:rPr>
      </w:pPr>
      <w:r w:rsidRPr="00B94E33">
        <w:rPr>
          <w:rFonts w:ascii="Times New Roman" w:hAnsi="Times New Roman" w:cs="Times New Roman"/>
          <w:szCs w:val="24"/>
          <w:lang w:val="fr-FR"/>
        </w:rPr>
        <w:fldChar w:fldCharType="begin"/>
      </w:r>
      <w:r w:rsidRPr="00B94E33">
        <w:rPr>
          <w:rFonts w:ascii="Times New Roman" w:hAnsi="Times New Roman" w:cs="Times New Roman"/>
          <w:szCs w:val="24"/>
          <w:lang w:val="fr-FR"/>
        </w:rPr>
        <w:instrText xml:space="preserve"> SEQ level0 \*arabic </w:instrText>
      </w:r>
      <w:r w:rsidRPr="00B94E33">
        <w:rPr>
          <w:rFonts w:ascii="Times New Roman" w:hAnsi="Times New Roman" w:cs="Times New Roman"/>
          <w:szCs w:val="24"/>
          <w:lang w:val="fr-FR"/>
        </w:rPr>
        <w:fldChar w:fldCharType="separate"/>
      </w:r>
      <w:r w:rsidR="00B94E33" w:rsidRPr="00B94E33">
        <w:rPr>
          <w:rFonts w:ascii="Times New Roman" w:hAnsi="Times New Roman" w:cs="Times New Roman"/>
          <w:noProof/>
          <w:szCs w:val="24"/>
          <w:lang w:val="fr-FR"/>
        </w:rPr>
        <w:t>99</w:t>
      </w:r>
      <w:r w:rsidRPr="00B94E33">
        <w:rPr>
          <w:rFonts w:ascii="Times New Roman" w:hAnsi="Times New Roman" w:cs="Times New Roman"/>
          <w:szCs w:val="24"/>
          <w:lang w:val="fr-FR"/>
        </w:rPr>
        <w:fldChar w:fldCharType="end"/>
      </w:r>
      <w:r w:rsidRPr="00B94E33">
        <w:rPr>
          <w:rFonts w:ascii="Times New Roman" w:hAnsi="Times New Roman" w:cs="Times New Roman"/>
          <w:szCs w:val="24"/>
          <w:lang w:val="fr-FR"/>
        </w:rPr>
        <w:t xml:space="preserve">.  À cet égard, elle </w:t>
      </w:r>
      <w:r w:rsidR="00291991" w:rsidRPr="00B94E33">
        <w:rPr>
          <w:rFonts w:ascii="Times New Roman" w:hAnsi="Times New Roman" w:cs="Times New Roman"/>
          <w:szCs w:val="24"/>
          <w:lang w:val="fr-FR"/>
        </w:rPr>
        <w:t>réitère</w:t>
      </w:r>
      <w:r w:rsidRPr="00B94E33">
        <w:rPr>
          <w:rFonts w:ascii="Times New Roman" w:hAnsi="Times New Roman" w:cs="Times New Roman"/>
          <w:szCs w:val="24"/>
          <w:lang w:val="fr-FR"/>
        </w:rPr>
        <w:t xml:space="preserve"> que les enfants et autres personnes vulnérables – dont font partie les victimes de violences domestiques – en particulier ont droit à la protection de l</w:t>
      </w:r>
      <w:r w:rsidR="00B94E33" w:rsidRPr="00B94E33">
        <w:rPr>
          <w:rFonts w:ascii="Times New Roman" w:hAnsi="Times New Roman" w:cs="Times New Roman"/>
          <w:szCs w:val="24"/>
          <w:lang w:val="fr-FR"/>
        </w:rPr>
        <w:t>’</w:t>
      </w:r>
      <w:r w:rsidRPr="00B94E33">
        <w:rPr>
          <w:rFonts w:ascii="Times New Roman" w:hAnsi="Times New Roman" w:cs="Times New Roman"/>
          <w:szCs w:val="24"/>
          <w:lang w:val="fr-FR"/>
        </w:rPr>
        <w:t>État, sous la forme d</w:t>
      </w:r>
      <w:r w:rsidR="00B94E33" w:rsidRPr="00B94E33">
        <w:rPr>
          <w:rFonts w:ascii="Times New Roman" w:hAnsi="Times New Roman" w:cs="Times New Roman"/>
          <w:szCs w:val="24"/>
          <w:lang w:val="fr-FR"/>
        </w:rPr>
        <w:t>’</w:t>
      </w:r>
      <w:r w:rsidRPr="00B94E33">
        <w:rPr>
          <w:rFonts w:ascii="Times New Roman" w:hAnsi="Times New Roman" w:cs="Times New Roman"/>
          <w:szCs w:val="24"/>
          <w:lang w:val="fr-FR"/>
        </w:rPr>
        <w:t>une prévention efficace, les mettant à l</w:t>
      </w:r>
      <w:r w:rsidR="00B94E33" w:rsidRPr="00B94E33">
        <w:rPr>
          <w:rFonts w:ascii="Times New Roman" w:hAnsi="Times New Roman" w:cs="Times New Roman"/>
          <w:szCs w:val="24"/>
          <w:lang w:val="fr-FR"/>
        </w:rPr>
        <w:t>’</w:t>
      </w:r>
      <w:r w:rsidRPr="00B94E33">
        <w:rPr>
          <w:rFonts w:ascii="Times New Roman" w:hAnsi="Times New Roman" w:cs="Times New Roman"/>
          <w:szCs w:val="24"/>
          <w:lang w:val="fr-FR"/>
        </w:rPr>
        <w:t>abri de formes aussi graves d</w:t>
      </w:r>
      <w:r w:rsidR="00B94E33" w:rsidRPr="00B94E33">
        <w:rPr>
          <w:rFonts w:ascii="Times New Roman" w:hAnsi="Times New Roman" w:cs="Times New Roman"/>
          <w:szCs w:val="24"/>
          <w:lang w:val="fr-FR"/>
        </w:rPr>
        <w:t>’</w:t>
      </w:r>
      <w:r w:rsidRPr="00B94E33">
        <w:rPr>
          <w:rFonts w:ascii="Times New Roman" w:hAnsi="Times New Roman" w:cs="Times New Roman"/>
          <w:szCs w:val="24"/>
          <w:lang w:val="fr-FR"/>
        </w:rPr>
        <w:t>atteinte à l</w:t>
      </w:r>
      <w:r w:rsidR="00B94E33" w:rsidRPr="00B94E33">
        <w:rPr>
          <w:rFonts w:ascii="Times New Roman" w:hAnsi="Times New Roman" w:cs="Times New Roman"/>
          <w:szCs w:val="24"/>
          <w:lang w:val="fr-FR"/>
        </w:rPr>
        <w:t>’</w:t>
      </w:r>
      <w:r w:rsidRPr="00B94E33">
        <w:rPr>
          <w:rFonts w:ascii="Times New Roman" w:hAnsi="Times New Roman" w:cs="Times New Roman"/>
          <w:szCs w:val="24"/>
          <w:lang w:val="fr-FR"/>
        </w:rPr>
        <w:t>intégrité de la personne (</w:t>
      </w:r>
      <w:r w:rsidRPr="00B94E33">
        <w:rPr>
          <w:rFonts w:ascii="Times New Roman" w:hAnsi="Times New Roman" w:cs="Times New Roman"/>
          <w:i/>
          <w:szCs w:val="24"/>
          <w:lang w:val="fr-FR"/>
        </w:rPr>
        <w:t>Opuz</w:t>
      </w:r>
      <w:r w:rsidRPr="00B94E33">
        <w:rPr>
          <w:rFonts w:ascii="Times New Roman" w:hAnsi="Times New Roman" w:cs="Times New Roman"/>
          <w:szCs w:val="24"/>
          <w:lang w:val="fr-FR"/>
        </w:rPr>
        <w:t>, précité, § 159). Elle rappelle aussi que les obligations positives énoncées à la première phrase de l</w:t>
      </w:r>
      <w:r w:rsidR="00B94E33" w:rsidRPr="00B94E33">
        <w:rPr>
          <w:rFonts w:ascii="Times New Roman" w:hAnsi="Times New Roman" w:cs="Times New Roman"/>
          <w:szCs w:val="24"/>
          <w:lang w:val="fr-FR"/>
        </w:rPr>
        <w:t>’</w:t>
      </w:r>
      <w:r w:rsidRPr="00B94E33">
        <w:rPr>
          <w:rFonts w:ascii="Times New Roman" w:hAnsi="Times New Roman" w:cs="Times New Roman"/>
          <w:szCs w:val="24"/>
          <w:lang w:val="fr-FR"/>
        </w:rPr>
        <w:t>article 2 de la Convention impliquent également l</w:t>
      </w:r>
      <w:r w:rsidR="00B94E33" w:rsidRPr="00B94E33">
        <w:rPr>
          <w:rFonts w:ascii="Times New Roman" w:hAnsi="Times New Roman" w:cs="Times New Roman"/>
          <w:szCs w:val="24"/>
          <w:lang w:val="fr-FR"/>
        </w:rPr>
        <w:t>’</w:t>
      </w:r>
      <w:r w:rsidRPr="00B94E33">
        <w:rPr>
          <w:rFonts w:ascii="Times New Roman" w:hAnsi="Times New Roman" w:cs="Times New Roman"/>
          <w:szCs w:val="24"/>
          <w:lang w:val="fr-FR"/>
        </w:rPr>
        <w:t>obligation pour l</w:t>
      </w:r>
      <w:r w:rsidR="00B94E33" w:rsidRPr="00B94E33">
        <w:rPr>
          <w:rFonts w:ascii="Times New Roman" w:hAnsi="Times New Roman" w:cs="Times New Roman"/>
          <w:szCs w:val="24"/>
          <w:lang w:val="fr-FR"/>
        </w:rPr>
        <w:t>’</w:t>
      </w:r>
      <w:r w:rsidRPr="00B94E33">
        <w:rPr>
          <w:rFonts w:ascii="Times New Roman" w:hAnsi="Times New Roman" w:cs="Times New Roman"/>
          <w:szCs w:val="24"/>
          <w:lang w:val="fr-FR"/>
        </w:rPr>
        <w:t>État de mettre en place un système judiciaire efficace et indépendant permettant d</w:t>
      </w:r>
      <w:r w:rsidR="00B94E33" w:rsidRPr="00B94E33">
        <w:rPr>
          <w:rFonts w:ascii="Times New Roman" w:hAnsi="Times New Roman" w:cs="Times New Roman"/>
          <w:szCs w:val="24"/>
          <w:lang w:val="fr-FR"/>
        </w:rPr>
        <w:t>’</w:t>
      </w:r>
      <w:r w:rsidRPr="00B94E33">
        <w:rPr>
          <w:rFonts w:ascii="Times New Roman" w:hAnsi="Times New Roman" w:cs="Times New Roman"/>
          <w:szCs w:val="24"/>
          <w:lang w:val="fr-FR"/>
        </w:rPr>
        <w:t>établir la cause du meurtre d</w:t>
      </w:r>
      <w:r w:rsidR="00B94E33" w:rsidRPr="00B94E33">
        <w:rPr>
          <w:rFonts w:ascii="Times New Roman" w:hAnsi="Times New Roman" w:cs="Times New Roman"/>
          <w:szCs w:val="24"/>
          <w:lang w:val="fr-FR"/>
        </w:rPr>
        <w:t>’</w:t>
      </w:r>
      <w:r w:rsidRPr="00B94E33">
        <w:rPr>
          <w:rFonts w:ascii="Times New Roman" w:hAnsi="Times New Roman" w:cs="Times New Roman"/>
          <w:szCs w:val="24"/>
          <w:lang w:val="fr-FR"/>
        </w:rPr>
        <w:t>un individu et de punir les coupables. Le but essentiel de pareille enquête est d</w:t>
      </w:r>
      <w:r w:rsidR="00B94E33" w:rsidRPr="00B94E33">
        <w:rPr>
          <w:rFonts w:ascii="Times New Roman" w:hAnsi="Times New Roman" w:cs="Times New Roman"/>
          <w:szCs w:val="24"/>
          <w:lang w:val="fr-FR"/>
        </w:rPr>
        <w:t>’</w:t>
      </w:r>
      <w:r w:rsidRPr="00B94E33">
        <w:rPr>
          <w:rFonts w:ascii="Times New Roman" w:hAnsi="Times New Roman" w:cs="Times New Roman"/>
          <w:szCs w:val="24"/>
          <w:lang w:val="fr-FR"/>
        </w:rPr>
        <w:t>assurer la mise en œuvre effective des dispositions de droit interne qui protègent le droit à la vie et, lorsque le comportement d</w:t>
      </w:r>
      <w:r w:rsidR="00B94E33" w:rsidRPr="00B94E33">
        <w:rPr>
          <w:rFonts w:ascii="Times New Roman" w:hAnsi="Times New Roman" w:cs="Times New Roman"/>
          <w:szCs w:val="24"/>
          <w:lang w:val="fr-FR"/>
        </w:rPr>
        <w:t>’</w:t>
      </w:r>
      <w:r w:rsidRPr="00B94E33">
        <w:rPr>
          <w:rFonts w:ascii="Times New Roman" w:hAnsi="Times New Roman" w:cs="Times New Roman"/>
          <w:szCs w:val="24"/>
          <w:lang w:val="fr-FR"/>
        </w:rPr>
        <w:t>agents ou autorités de l</w:t>
      </w:r>
      <w:r w:rsidR="00B94E33" w:rsidRPr="00B94E33">
        <w:rPr>
          <w:rFonts w:ascii="Times New Roman" w:hAnsi="Times New Roman" w:cs="Times New Roman"/>
          <w:szCs w:val="24"/>
          <w:lang w:val="fr-FR"/>
        </w:rPr>
        <w:t>’</w:t>
      </w:r>
      <w:r w:rsidRPr="00B94E33">
        <w:rPr>
          <w:rFonts w:ascii="Times New Roman" w:hAnsi="Times New Roman" w:cs="Times New Roman"/>
          <w:szCs w:val="24"/>
          <w:lang w:val="fr-FR"/>
        </w:rPr>
        <w:t>État pourrait être mis en cause, de veiller à ce que ceux-ci répondent des décès survenus sous leur responsabilité. Une exigence de promptitude et de diligence raisonnable est implicite dans ce contexte (</w:t>
      </w:r>
      <w:r w:rsidRPr="00B94E33">
        <w:rPr>
          <w:rFonts w:ascii="Times New Roman" w:hAnsi="Times New Roman" w:cs="Times New Roman"/>
          <w:i/>
          <w:szCs w:val="24"/>
          <w:lang w:val="fr-FR"/>
        </w:rPr>
        <w:t>idem</w:t>
      </w:r>
      <w:r w:rsidRPr="00B94E33">
        <w:rPr>
          <w:rFonts w:ascii="Times New Roman" w:hAnsi="Times New Roman" w:cs="Times New Roman"/>
          <w:szCs w:val="24"/>
          <w:lang w:val="fr-FR"/>
        </w:rPr>
        <w:t>, §§ 150-151).</w:t>
      </w:r>
    </w:p>
    <w:p w:rsidR="00292DDB" w:rsidRPr="00B94E33" w:rsidRDefault="00292DDB" w:rsidP="00B94E33">
      <w:pPr>
        <w:pStyle w:val="ECHRPara"/>
        <w:rPr>
          <w:rFonts w:ascii="Times New Roman" w:eastAsia="Times New Roman" w:hAnsi="Times New Roman" w:cs="Times New Roman"/>
          <w:szCs w:val="24"/>
          <w:lang w:val="fr-FR"/>
        </w:rPr>
      </w:pPr>
      <w:r w:rsidRPr="00B94E33">
        <w:rPr>
          <w:rFonts w:ascii="Times New Roman" w:eastAsia="Times New Roman" w:hAnsi="Times New Roman" w:cs="Times New Roman"/>
          <w:szCs w:val="24"/>
          <w:lang w:val="fr-FR"/>
        </w:rPr>
        <w:fldChar w:fldCharType="begin"/>
      </w:r>
      <w:r w:rsidRPr="00B94E33">
        <w:rPr>
          <w:rFonts w:ascii="Times New Roman" w:eastAsia="Times New Roman" w:hAnsi="Times New Roman" w:cs="Times New Roman"/>
          <w:szCs w:val="24"/>
          <w:lang w:val="fr-FR"/>
        </w:rPr>
        <w:instrText xml:space="preserve"> SEQ level0 \*arabic </w:instrText>
      </w:r>
      <w:r w:rsidRPr="00B94E33">
        <w:rPr>
          <w:rFonts w:ascii="Times New Roman" w:eastAsia="Times New Roman" w:hAnsi="Times New Roman" w:cs="Times New Roman"/>
          <w:szCs w:val="24"/>
          <w:lang w:val="fr-FR"/>
        </w:rPr>
        <w:fldChar w:fldCharType="separate"/>
      </w:r>
      <w:r w:rsidR="00B94E33" w:rsidRPr="00B94E33">
        <w:rPr>
          <w:rFonts w:ascii="Times New Roman" w:eastAsia="Times New Roman" w:hAnsi="Times New Roman" w:cs="Times New Roman"/>
          <w:noProof/>
          <w:szCs w:val="24"/>
          <w:lang w:val="fr-FR"/>
        </w:rPr>
        <w:t>100</w:t>
      </w:r>
      <w:r w:rsidRPr="00B94E33">
        <w:rPr>
          <w:rFonts w:ascii="Times New Roman" w:eastAsia="Times New Roman" w:hAnsi="Times New Roman" w:cs="Times New Roman"/>
          <w:szCs w:val="24"/>
          <w:lang w:val="fr-FR"/>
        </w:rPr>
        <w:fldChar w:fldCharType="end"/>
      </w:r>
      <w:r w:rsidRPr="00B94E33">
        <w:rPr>
          <w:rFonts w:ascii="Times New Roman" w:eastAsia="Times New Roman" w:hAnsi="Times New Roman" w:cs="Times New Roman"/>
          <w:szCs w:val="24"/>
          <w:lang w:val="fr-FR"/>
        </w:rPr>
        <w:t>.  La Cour a en outre déjà dit que les obligations positives qui pèsent sur les autorités – dans certains cas en vertu de l</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article 2 ou de l</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article 3 de la Convention, et dans d</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autres cas en vertu de l</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article 8, considéré seul ou combiné avec l</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article 3 – peuvent comporter un devoir de mettre en place et d</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appliquer un cadre juridique adapté offrant une protection contre les actes de violence pouvant être commis par des particuliers (voir, parmi d</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 xml:space="preserve">autres, </w:t>
      </w:r>
      <w:r w:rsidRPr="00B94E33">
        <w:rPr>
          <w:rFonts w:ascii="Times New Roman" w:eastAsia="Times New Roman" w:hAnsi="Times New Roman" w:cs="Times New Roman"/>
          <w:i/>
          <w:szCs w:val="24"/>
          <w:lang w:val="fr-FR"/>
        </w:rPr>
        <w:t>Bevacqua et S. c. Bulgarie</w:t>
      </w:r>
      <w:r w:rsidRPr="00B94E33">
        <w:rPr>
          <w:rFonts w:ascii="Times New Roman" w:eastAsia="Times New Roman" w:hAnsi="Times New Roman" w:cs="Times New Roman"/>
          <w:szCs w:val="24"/>
          <w:lang w:val="fr-FR"/>
        </w:rPr>
        <w:t xml:space="preserve">, </w:t>
      </w:r>
      <w:r w:rsidRPr="00B94E33">
        <w:rPr>
          <w:rFonts w:ascii="Times New Roman" w:hAnsi="Times New Roman" w:cs="Times New Roman"/>
          <w:szCs w:val="24"/>
          <w:lang w:val="fr-FR"/>
        </w:rPr>
        <w:t>n</w:t>
      </w:r>
      <w:r w:rsidRPr="00B94E33">
        <w:rPr>
          <w:rFonts w:ascii="Times New Roman" w:hAnsi="Times New Roman" w:cs="Times New Roman"/>
          <w:szCs w:val="24"/>
          <w:vertAlign w:val="superscript"/>
          <w:lang w:val="fr-FR"/>
        </w:rPr>
        <w:t>o</w:t>
      </w:r>
      <w:r w:rsidRPr="00B94E33">
        <w:rPr>
          <w:rFonts w:ascii="Times New Roman" w:hAnsi="Times New Roman" w:cs="Times New Roman"/>
          <w:szCs w:val="24"/>
          <w:lang w:val="fr-FR"/>
        </w:rPr>
        <w:t xml:space="preserve"> </w:t>
      </w:r>
      <w:hyperlink r:id="rId26" w:anchor="{&quot;appno&quot;:[&quot;71127/01&quot;]}" w:tgtFrame="_blank" w:history="1">
        <w:r w:rsidRPr="00B94E33">
          <w:rPr>
            <w:rFonts w:ascii="Times New Roman" w:eastAsia="Times New Roman" w:hAnsi="Times New Roman" w:cs="Times New Roman"/>
            <w:szCs w:val="24"/>
            <w:lang w:val="fr-FR"/>
          </w:rPr>
          <w:t>71127/01</w:t>
        </w:r>
      </w:hyperlink>
      <w:r w:rsidRPr="00B94E33">
        <w:rPr>
          <w:rFonts w:ascii="Times New Roman" w:eastAsia="Times New Roman" w:hAnsi="Times New Roman" w:cs="Times New Roman"/>
          <w:szCs w:val="24"/>
          <w:lang w:val="fr-FR"/>
        </w:rPr>
        <w:t xml:space="preserve">, § 65, 12 juin 2008, </w:t>
      </w:r>
      <w:r w:rsidRPr="00B94E33">
        <w:rPr>
          <w:rFonts w:ascii="Times New Roman" w:eastAsia="Times New Roman" w:hAnsi="Times New Roman" w:cs="Times New Roman"/>
          <w:i/>
          <w:szCs w:val="24"/>
          <w:lang w:val="fr-FR"/>
        </w:rPr>
        <w:t>Sandra Janković c. Croatie</w:t>
      </w:r>
      <w:r w:rsidRPr="00B94E33">
        <w:rPr>
          <w:rFonts w:ascii="Times New Roman" w:eastAsia="Times New Roman" w:hAnsi="Times New Roman" w:cs="Times New Roman"/>
          <w:szCs w:val="24"/>
          <w:lang w:val="fr-FR"/>
        </w:rPr>
        <w:t>, n</w:t>
      </w:r>
      <w:r w:rsidRPr="00B94E33">
        <w:rPr>
          <w:rFonts w:ascii="Times New Roman" w:eastAsia="Times New Roman" w:hAnsi="Times New Roman" w:cs="Times New Roman"/>
          <w:szCs w:val="24"/>
          <w:vertAlign w:val="superscript"/>
          <w:lang w:val="fr-FR"/>
        </w:rPr>
        <w:t>o</w:t>
      </w:r>
      <w:r w:rsidRPr="00B94E33">
        <w:rPr>
          <w:rFonts w:ascii="Times New Roman" w:eastAsia="Times New Roman" w:hAnsi="Times New Roman" w:cs="Times New Roman"/>
          <w:szCs w:val="24"/>
          <w:lang w:val="fr-FR"/>
        </w:rPr>
        <w:t xml:space="preserve"> </w:t>
      </w:r>
      <w:hyperlink r:id="rId27" w:anchor="{&quot;appno&quot;:[&quot;38478/05&quot;]}" w:tgtFrame="_blank" w:history="1">
        <w:r w:rsidRPr="00B94E33">
          <w:rPr>
            <w:rFonts w:ascii="Times New Roman" w:eastAsia="Times New Roman" w:hAnsi="Times New Roman" w:cs="Times New Roman"/>
            <w:szCs w:val="24"/>
            <w:lang w:val="fr-FR"/>
          </w:rPr>
          <w:t>38478/05</w:t>
        </w:r>
      </w:hyperlink>
      <w:r w:rsidRPr="00B94E33">
        <w:rPr>
          <w:rFonts w:ascii="Times New Roman" w:eastAsia="Times New Roman" w:hAnsi="Times New Roman" w:cs="Times New Roman"/>
          <w:szCs w:val="24"/>
          <w:lang w:val="fr-FR"/>
        </w:rPr>
        <w:t xml:space="preserve">, § 45, 5 mars 2009, </w:t>
      </w:r>
      <w:r w:rsidRPr="00B94E33">
        <w:rPr>
          <w:rFonts w:ascii="Times New Roman" w:eastAsia="Times New Roman" w:hAnsi="Times New Roman" w:cs="Times New Roman"/>
          <w:i/>
          <w:szCs w:val="24"/>
          <w:lang w:val="fr-FR"/>
        </w:rPr>
        <w:t>A. c. Croatie</w:t>
      </w:r>
      <w:r w:rsidRPr="00B94E33">
        <w:rPr>
          <w:rFonts w:ascii="Times New Roman" w:eastAsia="Times New Roman" w:hAnsi="Times New Roman" w:cs="Times New Roman"/>
          <w:szCs w:val="24"/>
          <w:lang w:val="fr-FR"/>
        </w:rPr>
        <w:t xml:space="preserve">, </w:t>
      </w:r>
      <w:r w:rsidRPr="00B94E33">
        <w:rPr>
          <w:rFonts w:ascii="Times New Roman" w:hAnsi="Times New Roman" w:cs="Times New Roman"/>
          <w:szCs w:val="24"/>
          <w:lang w:val="fr-FR"/>
        </w:rPr>
        <w:t>n</w:t>
      </w:r>
      <w:r w:rsidRPr="00B94E33">
        <w:rPr>
          <w:rFonts w:ascii="Times New Roman" w:hAnsi="Times New Roman" w:cs="Times New Roman"/>
          <w:szCs w:val="24"/>
          <w:vertAlign w:val="superscript"/>
          <w:lang w:val="fr-FR"/>
        </w:rPr>
        <w:t>o</w:t>
      </w:r>
      <w:r w:rsidR="004B08DB" w:rsidRPr="00B94E33">
        <w:rPr>
          <w:rFonts w:ascii="Times New Roman" w:hAnsi="Times New Roman" w:cs="Times New Roman"/>
          <w:szCs w:val="24"/>
          <w:vertAlign w:val="superscript"/>
          <w:lang w:val="fr-FR"/>
        </w:rPr>
        <w:t> </w:t>
      </w:r>
      <w:hyperlink r:id="rId28" w:anchor="{&quot;appno&quot;:[&quot;55164/08&quot;]}" w:tgtFrame="_blank" w:history="1">
        <w:r w:rsidRPr="00B94E33">
          <w:rPr>
            <w:rFonts w:ascii="Times New Roman" w:eastAsia="Times New Roman" w:hAnsi="Times New Roman" w:cs="Times New Roman"/>
            <w:szCs w:val="24"/>
            <w:lang w:val="fr-FR"/>
          </w:rPr>
          <w:t>55164/08</w:t>
        </w:r>
      </w:hyperlink>
      <w:r w:rsidRPr="00B94E33">
        <w:rPr>
          <w:rFonts w:ascii="Times New Roman" w:eastAsia="Times New Roman" w:hAnsi="Times New Roman" w:cs="Times New Roman"/>
          <w:szCs w:val="24"/>
          <w:lang w:val="fr-FR"/>
        </w:rPr>
        <w:t xml:space="preserve">, § 60, 14 octobre 2010, et </w:t>
      </w:r>
      <w:r w:rsidRPr="00B94E33">
        <w:rPr>
          <w:rFonts w:ascii="Times New Roman" w:eastAsia="Times New Roman" w:hAnsi="Times New Roman" w:cs="Times New Roman"/>
          <w:i/>
          <w:szCs w:val="24"/>
          <w:lang w:val="fr-FR"/>
        </w:rPr>
        <w:t>Đorđević c. Croatie</w:t>
      </w:r>
      <w:r w:rsidRPr="00B94E33">
        <w:rPr>
          <w:rFonts w:ascii="Times New Roman" w:eastAsia="Times New Roman" w:hAnsi="Times New Roman" w:cs="Times New Roman"/>
          <w:szCs w:val="24"/>
          <w:lang w:val="fr-FR"/>
        </w:rPr>
        <w:t xml:space="preserve">, </w:t>
      </w:r>
      <w:r w:rsidRPr="00B94E33">
        <w:rPr>
          <w:rFonts w:ascii="Times New Roman" w:hAnsi="Times New Roman" w:cs="Times New Roman"/>
          <w:szCs w:val="24"/>
          <w:lang w:val="fr-FR"/>
        </w:rPr>
        <w:t>n</w:t>
      </w:r>
      <w:r w:rsidRPr="00B94E33">
        <w:rPr>
          <w:rFonts w:ascii="Times New Roman" w:hAnsi="Times New Roman" w:cs="Times New Roman"/>
          <w:szCs w:val="24"/>
          <w:vertAlign w:val="superscript"/>
          <w:lang w:val="fr-FR"/>
        </w:rPr>
        <w:t>o</w:t>
      </w:r>
      <w:r w:rsidRPr="00B94E33">
        <w:rPr>
          <w:rFonts w:ascii="Times New Roman" w:hAnsi="Times New Roman" w:cs="Times New Roman"/>
          <w:szCs w:val="24"/>
          <w:lang w:val="fr-FR"/>
        </w:rPr>
        <w:t xml:space="preserve"> </w:t>
      </w:r>
      <w:hyperlink r:id="rId29" w:anchor="{&quot;appno&quot;:[&quot;41526/10&quot;]}" w:tgtFrame="_blank" w:history="1">
        <w:r w:rsidRPr="00B94E33">
          <w:rPr>
            <w:rFonts w:ascii="Times New Roman" w:eastAsia="Times New Roman" w:hAnsi="Times New Roman" w:cs="Times New Roman"/>
            <w:szCs w:val="24"/>
            <w:lang w:val="fr-FR"/>
          </w:rPr>
          <w:t>41526/10</w:t>
        </w:r>
      </w:hyperlink>
      <w:r w:rsidR="009A4363" w:rsidRPr="00B94E33">
        <w:rPr>
          <w:rFonts w:ascii="Times New Roman" w:eastAsia="Times New Roman" w:hAnsi="Times New Roman" w:cs="Times New Roman"/>
          <w:szCs w:val="24"/>
          <w:lang w:val="fr-FR"/>
        </w:rPr>
        <w:t>, §§ 141-143, CEDH </w:t>
      </w:r>
      <w:r w:rsidRPr="00B94E33">
        <w:rPr>
          <w:rFonts w:ascii="Times New Roman" w:eastAsia="Times New Roman" w:hAnsi="Times New Roman" w:cs="Times New Roman"/>
          <w:szCs w:val="24"/>
          <w:lang w:val="fr-FR"/>
        </w:rPr>
        <w:t>2012</w:t>
      </w:r>
      <w:r w:rsidR="00E85EF2" w:rsidRPr="00B94E33">
        <w:rPr>
          <w:rFonts w:ascii="Times New Roman" w:hAnsi="Times New Roman" w:cs="Times New Roman"/>
          <w:i/>
          <w:iCs/>
          <w:color w:val="000000"/>
          <w:lang w:val="fr-FR"/>
        </w:rPr>
        <w:t xml:space="preserve"> M. et M. c. Croatie</w:t>
      </w:r>
      <w:r w:rsidR="00E85EF2" w:rsidRPr="00B94E33">
        <w:rPr>
          <w:rFonts w:ascii="Times New Roman" w:hAnsi="Times New Roman" w:cs="Times New Roman"/>
          <w:color w:val="000000"/>
          <w:lang w:val="fr-FR"/>
        </w:rPr>
        <w:t xml:space="preserve">, </w:t>
      </w:r>
      <w:r w:rsidR="00E85EF2" w:rsidRPr="00B94E33">
        <w:rPr>
          <w:rFonts w:ascii="Times New Roman" w:hAnsi="Times New Roman" w:cs="Times New Roman"/>
          <w:szCs w:val="24"/>
          <w:lang w:val="fr-FR"/>
        </w:rPr>
        <w:t>n</w:t>
      </w:r>
      <w:r w:rsidR="00E85EF2" w:rsidRPr="00B94E33">
        <w:rPr>
          <w:rFonts w:ascii="Times New Roman" w:hAnsi="Times New Roman" w:cs="Times New Roman"/>
          <w:szCs w:val="24"/>
          <w:vertAlign w:val="superscript"/>
          <w:lang w:val="fr-FR"/>
        </w:rPr>
        <w:t>o</w:t>
      </w:r>
      <w:r w:rsidR="00E85EF2" w:rsidRPr="00B94E33">
        <w:rPr>
          <w:rFonts w:ascii="Times New Roman" w:hAnsi="Times New Roman" w:cs="Times New Roman"/>
          <w:color w:val="000000"/>
          <w:lang w:val="fr-FR"/>
        </w:rPr>
        <w:t xml:space="preserve"> 10161/13, § 136, CEDH 2015 (extraits</w:t>
      </w:r>
      <w:r w:rsidRPr="00B94E33">
        <w:rPr>
          <w:rFonts w:ascii="Times New Roman" w:eastAsia="Times New Roman" w:hAnsi="Times New Roman" w:cs="Times New Roman"/>
          <w:szCs w:val="24"/>
          <w:lang w:val="fr-FR"/>
        </w:rPr>
        <w:t>).</w:t>
      </w:r>
    </w:p>
    <w:p w:rsidR="00F76F5A" w:rsidRPr="00B94E33" w:rsidRDefault="000D1560"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101</w:t>
      </w:r>
      <w:r w:rsidRPr="00B94E33">
        <w:rPr>
          <w:lang w:val="fr-FR"/>
        </w:rPr>
        <w:fldChar w:fldCharType="end"/>
      </w:r>
      <w:r w:rsidRPr="00B94E33">
        <w:rPr>
          <w:lang w:val="fr-FR"/>
        </w:rPr>
        <w:t>.  </w:t>
      </w:r>
      <w:r w:rsidR="003324AC" w:rsidRPr="00B94E33">
        <w:rPr>
          <w:lang w:val="fr-FR"/>
        </w:rPr>
        <w:t>Aussi, dans certaines circonstances bien définies, l</w:t>
      </w:r>
      <w:r w:rsidR="00B94E33" w:rsidRPr="00B94E33">
        <w:rPr>
          <w:lang w:val="fr-FR"/>
        </w:rPr>
        <w:t>’</w:t>
      </w:r>
      <w:r w:rsidR="003324AC" w:rsidRPr="00B94E33">
        <w:rPr>
          <w:lang w:val="fr-FR"/>
        </w:rPr>
        <w:t>article 2 peut mettre à la charge des autorités l</w:t>
      </w:r>
      <w:r w:rsidR="00B94E33" w:rsidRPr="00B94E33">
        <w:rPr>
          <w:lang w:val="fr-FR"/>
        </w:rPr>
        <w:t>’</w:t>
      </w:r>
      <w:r w:rsidR="003324AC" w:rsidRPr="00B94E33">
        <w:rPr>
          <w:lang w:val="fr-FR"/>
        </w:rPr>
        <w:t xml:space="preserve">obligation positive </w:t>
      </w:r>
      <w:r w:rsidR="00F00089" w:rsidRPr="00B94E33">
        <w:rPr>
          <w:lang w:val="fr-FR"/>
        </w:rPr>
        <w:t>d</w:t>
      </w:r>
      <w:r w:rsidR="00B94E33" w:rsidRPr="00B94E33">
        <w:rPr>
          <w:lang w:val="fr-FR"/>
        </w:rPr>
        <w:t>’</w:t>
      </w:r>
      <w:r w:rsidR="00F00089" w:rsidRPr="00B94E33">
        <w:rPr>
          <w:lang w:val="fr-FR"/>
        </w:rPr>
        <w:t xml:space="preserve">adopter préalablement </w:t>
      </w:r>
      <w:r w:rsidR="003324AC" w:rsidRPr="00B94E33">
        <w:rPr>
          <w:lang w:val="fr-FR"/>
        </w:rPr>
        <w:t>des mesures d</w:t>
      </w:r>
      <w:r w:rsidR="00B94E33" w:rsidRPr="00B94E33">
        <w:rPr>
          <w:lang w:val="fr-FR"/>
        </w:rPr>
        <w:t>’</w:t>
      </w:r>
      <w:r w:rsidR="003324AC" w:rsidRPr="00B94E33">
        <w:rPr>
          <w:lang w:val="fr-FR"/>
        </w:rPr>
        <w:t>ordre pratique pour protéger l</w:t>
      </w:r>
      <w:r w:rsidR="00B94E33" w:rsidRPr="00B94E33">
        <w:rPr>
          <w:lang w:val="fr-FR"/>
        </w:rPr>
        <w:t>’</w:t>
      </w:r>
      <w:r w:rsidR="003324AC" w:rsidRPr="00B94E33">
        <w:rPr>
          <w:lang w:val="fr-FR"/>
        </w:rPr>
        <w:t>individu dont la vie est menacée par les agissements criminels d</w:t>
      </w:r>
      <w:r w:rsidR="00B94E33" w:rsidRPr="00B94E33">
        <w:rPr>
          <w:lang w:val="fr-FR"/>
        </w:rPr>
        <w:t>’</w:t>
      </w:r>
      <w:r w:rsidR="003324AC" w:rsidRPr="00B94E33">
        <w:rPr>
          <w:lang w:val="fr-FR"/>
        </w:rPr>
        <w:t>autrui (</w:t>
      </w:r>
      <w:r w:rsidR="00F158D5" w:rsidRPr="00B94E33">
        <w:rPr>
          <w:i/>
          <w:lang w:val="fr-FR"/>
        </w:rPr>
        <w:t>Osman c. Royaume-Uni</w:t>
      </w:r>
      <w:r w:rsidR="00F158D5" w:rsidRPr="00B94E33">
        <w:rPr>
          <w:lang w:val="fr-FR"/>
        </w:rPr>
        <w:t>, 28 octobre 1998, § 115, Recueil 1998</w:t>
      </w:r>
      <w:r w:rsidR="00F158D5" w:rsidRPr="00B94E33">
        <w:rPr>
          <w:lang w:val="fr-FR"/>
        </w:rPr>
        <w:noBreakHyphen/>
        <w:t>VIII ;</w:t>
      </w:r>
      <w:r w:rsidR="00F158D5" w:rsidRPr="00B94E33">
        <w:rPr>
          <w:i/>
          <w:lang w:val="fr-FR"/>
        </w:rPr>
        <w:t xml:space="preserve"> </w:t>
      </w:r>
      <w:r w:rsidR="003324AC" w:rsidRPr="00B94E33">
        <w:rPr>
          <w:i/>
          <w:lang w:val="fr-FR"/>
        </w:rPr>
        <w:t>Branko Tomašić et autres c.</w:t>
      </w:r>
      <w:r w:rsidR="004B08DB" w:rsidRPr="00B94E33">
        <w:rPr>
          <w:i/>
          <w:lang w:val="fr-FR"/>
        </w:rPr>
        <w:t> </w:t>
      </w:r>
      <w:r w:rsidR="003324AC" w:rsidRPr="00B94E33">
        <w:rPr>
          <w:i/>
          <w:lang w:val="fr-FR"/>
        </w:rPr>
        <w:t>Croatie</w:t>
      </w:r>
      <w:r w:rsidR="003324AC" w:rsidRPr="00B94E33">
        <w:rPr>
          <w:lang w:val="fr-FR"/>
        </w:rPr>
        <w:t xml:space="preserve">, </w:t>
      </w:r>
      <w:r w:rsidR="00F158D5" w:rsidRPr="00B94E33">
        <w:rPr>
          <w:rFonts w:ascii="Times New Roman" w:eastAsia="Times New Roman" w:hAnsi="Times New Roman" w:cs="Times New Roman"/>
          <w:szCs w:val="24"/>
          <w:lang w:val="fr-FR"/>
        </w:rPr>
        <w:t>n</w:t>
      </w:r>
      <w:r w:rsidR="00F158D5" w:rsidRPr="00B94E33">
        <w:rPr>
          <w:rFonts w:ascii="Times New Roman" w:eastAsia="Times New Roman" w:hAnsi="Times New Roman" w:cs="Times New Roman"/>
          <w:szCs w:val="24"/>
          <w:vertAlign w:val="superscript"/>
          <w:lang w:val="fr-FR"/>
        </w:rPr>
        <w:t>o</w:t>
      </w:r>
      <w:r w:rsidR="003324AC" w:rsidRPr="00B94E33">
        <w:rPr>
          <w:lang w:val="fr-FR"/>
        </w:rPr>
        <w:t xml:space="preserve"> </w:t>
      </w:r>
      <w:hyperlink r:id="rId30" w:anchor="{&quot;appno&quot;:[&quot;46598/06&quot;]}" w:tgtFrame="_blank" w:history="1">
        <w:r w:rsidR="003324AC" w:rsidRPr="00B94E33">
          <w:rPr>
            <w:lang w:val="fr-FR"/>
          </w:rPr>
          <w:t>46598/06</w:t>
        </w:r>
      </w:hyperlink>
      <w:r w:rsidR="003324AC" w:rsidRPr="00B94E33">
        <w:rPr>
          <w:lang w:val="fr-FR"/>
        </w:rPr>
        <w:t xml:space="preserve">, § 50, 15 janvier 2009, et </w:t>
      </w:r>
      <w:r w:rsidR="0065358C" w:rsidRPr="00B94E33">
        <w:rPr>
          <w:i/>
          <w:lang w:val="fr-FR"/>
        </w:rPr>
        <w:t>Opuz,</w:t>
      </w:r>
      <w:r w:rsidR="0065358C" w:rsidRPr="00B94E33">
        <w:rPr>
          <w:lang w:val="fr-FR"/>
        </w:rPr>
        <w:t xml:space="preserve"> précité </w:t>
      </w:r>
      <w:r w:rsidR="00F158D5" w:rsidRPr="00B94E33">
        <w:rPr>
          <w:lang w:val="fr-FR"/>
        </w:rPr>
        <w:t>§</w:t>
      </w:r>
      <w:r w:rsidR="004B08DB" w:rsidRPr="00B94E33">
        <w:rPr>
          <w:lang w:val="fr-FR"/>
        </w:rPr>
        <w:t> </w:t>
      </w:r>
      <w:r w:rsidR="00F158D5" w:rsidRPr="00B94E33">
        <w:rPr>
          <w:lang w:val="fr-FR"/>
        </w:rPr>
        <w:t>128</w:t>
      </w:r>
      <w:r w:rsidR="0065358C" w:rsidRPr="00B94E33">
        <w:rPr>
          <w:lang w:val="fr-FR"/>
        </w:rPr>
        <w:t xml:space="preserve">; </w:t>
      </w:r>
      <w:r w:rsidR="00F76F5A" w:rsidRPr="00B94E33">
        <w:rPr>
          <w:i/>
          <w:lang w:val="fr-FR"/>
        </w:rPr>
        <w:t>Mahmut Kaya c. Turquie</w:t>
      </w:r>
      <w:r w:rsidR="00F76F5A" w:rsidRPr="00B94E33">
        <w:rPr>
          <w:lang w:val="fr-FR"/>
        </w:rPr>
        <w:t xml:space="preserve">, </w:t>
      </w:r>
      <w:r w:rsidR="00291991" w:rsidRPr="00B94E33">
        <w:rPr>
          <w:rFonts w:ascii="Times New Roman" w:eastAsia="Times New Roman" w:hAnsi="Times New Roman" w:cs="Times New Roman"/>
          <w:szCs w:val="24"/>
          <w:lang w:val="fr-FR"/>
        </w:rPr>
        <w:t>n</w:t>
      </w:r>
      <w:r w:rsidR="00291991" w:rsidRPr="00B94E33">
        <w:rPr>
          <w:rFonts w:ascii="Times New Roman" w:eastAsia="Times New Roman" w:hAnsi="Times New Roman" w:cs="Times New Roman"/>
          <w:szCs w:val="24"/>
          <w:vertAlign w:val="superscript"/>
          <w:lang w:val="fr-FR"/>
        </w:rPr>
        <w:t>o</w:t>
      </w:r>
      <w:r w:rsidR="00291991" w:rsidRPr="00B94E33">
        <w:rPr>
          <w:lang w:val="fr-FR"/>
        </w:rPr>
        <w:t xml:space="preserve"> </w:t>
      </w:r>
      <w:hyperlink r:id="rId31" w:anchor="%7B%22appno%22:%5B%2222535/93%22%5D%7D" w:tgtFrame="_blank" w:history="1">
        <w:r w:rsidR="00F76F5A" w:rsidRPr="00B94E33">
          <w:rPr>
            <w:lang w:val="fr-FR"/>
          </w:rPr>
          <w:t>22535/93</w:t>
        </w:r>
      </w:hyperlink>
      <w:r w:rsidR="00F76F5A" w:rsidRPr="00B94E33">
        <w:rPr>
          <w:lang w:val="fr-FR"/>
        </w:rPr>
        <w:t>, § 85, CEDH 2000</w:t>
      </w:r>
      <w:r w:rsidR="00F76F5A" w:rsidRPr="00B94E33">
        <w:rPr>
          <w:lang w:val="fr-FR"/>
        </w:rPr>
        <w:noBreakHyphen/>
        <w:t xml:space="preserve">III, </w:t>
      </w:r>
      <w:r w:rsidR="00F76F5A" w:rsidRPr="00B94E33">
        <w:rPr>
          <w:i/>
          <w:lang w:val="fr-FR"/>
        </w:rPr>
        <w:t>Kılıç c.</w:t>
      </w:r>
      <w:r w:rsidR="004B08DB" w:rsidRPr="00B94E33">
        <w:rPr>
          <w:i/>
          <w:lang w:val="fr-FR"/>
        </w:rPr>
        <w:t> </w:t>
      </w:r>
      <w:r w:rsidR="00F76F5A" w:rsidRPr="00B94E33">
        <w:rPr>
          <w:i/>
          <w:lang w:val="fr-FR"/>
        </w:rPr>
        <w:t>Turquie,</w:t>
      </w:r>
      <w:r w:rsidR="00F76F5A" w:rsidRPr="00B94E33">
        <w:rPr>
          <w:lang w:val="fr-FR"/>
        </w:rPr>
        <w:t xml:space="preserve"> </w:t>
      </w:r>
      <w:r w:rsidR="00F158D5" w:rsidRPr="00B94E33">
        <w:rPr>
          <w:rFonts w:ascii="Times New Roman" w:eastAsia="Times New Roman" w:hAnsi="Times New Roman" w:cs="Times New Roman"/>
          <w:szCs w:val="24"/>
          <w:lang w:val="fr-FR"/>
        </w:rPr>
        <w:t>n</w:t>
      </w:r>
      <w:r w:rsidR="00F158D5" w:rsidRPr="00B94E33">
        <w:rPr>
          <w:rFonts w:ascii="Times New Roman" w:eastAsia="Times New Roman" w:hAnsi="Times New Roman" w:cs="Times New Roman"/>
          <w:szCs w:val="24"/>
          <w:vertAlign w:val="superscript"/>
          <w:lang w:val="fr-FR"/>
        </w:rPr>
        <w:t>o</w:t>
      </w:r>
      <w:r w:rsidR="00F76F5A" w:rsidRPr="00B94E33">
        <w:rPr>
          <w:lang w:val="fr-FR"/>
        </w:rPr>
        <w:t xml:space="preserve"> </w:t>
      </w:r>
      <w:hyperlink r:id="rId32" w:anchor="{&quot;appno&quot;:[&quot;22492/93&quot;]}" w:tgtFrame="_blank" w:history="1">
        <w:r w:rsidR="00F76F5A" w:rsidRPr="00B94E33">
          <w:rPr>
            <w:lang w:val="fr-FR"/>
          </w:rPr>
          <w:t>22492/93</w:t>
        </w:r>
      </w:hyperlink>
      <w:r w:rsidR="0065358C" w:rsidRPr="00B94E33">
        <w:rPr>
          <w:lang w:val="fr-FR"/>
        </w:rPr>
        <w:t>, § 62, CEDH 2000</w:t>
      </w:r>
      <w:r w:rsidR="0065358C" w:rsidRPr="00B94E33">
        <w:rPr>
          <w:lang w:val="fr-FR"/>
        </w:rPr>
        <w:noBreakHyphen/>
        <w:t>III</w:t>
      </w:r>
      <w:r w:rsidR="00F76F5A" w:rsidRPr="00B94E33">
        <w:rPr>
          <w:lang w:val="fr-FR"/>
        </w:rPr>
        <w:t>).</w:t>
      </w:r>
    </w:p>
    <w:p w:rsidR="00F76F5A" w:rsidRPr="00B94E33" w:rsidRDefault="00766526" w:rsidP="00B94E33">
      <w:pPr>
        <w:pStyle w:val="ECHRPara"/>
        <w:rPr>
          <w:lang w:val="fr-FR"/>
        </w:rPr>
      </w:pPr>
      <w:r w:rsidRPr="00B94E33">
        <w:rPr>
          <w:lang w:val="fr-FR"/>
        </w:rPr>
        <w:t xml:space="preserve">Il </w:t>
      </w:r>
      <w:r w:rsidR="00F76F5A" w:rsidRPr="00B94E33">
        <w:rPr>
          <w:lang w:val="fr-FR"/>
        </w:rPr>
        <w:t>faut interpréter l</w:t>
      </w:r>
      <w:r w:rsidR="00B94E33" w:rsidRPr="00B94E33">
        <w:rPr>
          <w:lang w:val="fr-FR"/>
        </w:rPr>
        <w:t>’</w:t>
      </w:r>
      <w:r w:rsidR="00F76F5A" w:rsidRPr="00B94E33">
        <w:rPr>
          <w:lang w:val="fr-FR"/>
        </w:rPr>
        <w:t>étendue de l</w:t>
      </w:r>
      <w:r w:rsidR="00B94E33" w:rsidRPr="00B94E33">
        <w:rPr>
          <w:lang w:val="fr-FR"/>
        </w:rPr>
        <w:t>’</w:t>
      </w:r>
      <w:r w:rsidR="00F76F5A" w:rsidRPr="00B94E33">
        <w:rPr>
          <w:lang w:val="fr-FR"/>
        </w:rPr>
        <w:t>obligation positive de manière à ne pas imposer aux autorités un fardeau insupportable ou excessif, eu égard aux difficultés pour la police d</w:t>
      </w:r>
      <w:r w:rsidR="00B94E33" w:rsidRPr="00B94E33">
        <w:rPr>
          <w:lang w:val="fr-FR"/>
        </w:rPr>
        <w:t>’</w:t>
      </w:r>
      <w:r w:rsidR="00F76F5A" w:rsidRPr="00B94E33">
        <w:rPr>
          <w:lang w:val="fr-FR"/>
        </w:rPr>
        <w:t>exercer ses fonctions dans les sociétés contemporaines, à l</w:t>
      </w:r>
      <w:r w:rsidR="00B94E33" w:rsidRPr="00B94E33">
        <w:rPr>
          <w:lang w:val="fr-FR"/>
        </w:rPr>
        <w:t>’</w:t>
      </w:r>
      <w:r w:rsidR="00F76F5A" w:rsidRPr="00B94E33">
        <w:rPr>
          <w:lang w:val="fr-FR"/>
        </w:rPr>
        <w:t>imprévisibilité du comportement humain et aux choix opérationnels à faire en termes de priorités et de ressources. Dès lors, toute menace alléguée contre la vie n</w:t>
      </w:r>
      <w:r w:rsidR="00B94E33" w:rsidRPr="00B94E33">
        <w:rPr>
          <w:lang w:val="fr-FR"/>
        </w:rPr>
        <w:t>’</w:t>
      </w:r>
      <w:r w:rsidR="00F76F5A" w:rsidRPr="00B94E33">
        <w:rPr>
          <w:lang w:val="fr-FR"/>
        </w:rPr>
        <w:t>oblige pas les autorités, au regard de la Convention, à prendre des mesures concrètes pour en prévenir la réalisation. Pour qu</w:t>
      </w:r>
      <w:r w:rsidR="00B94E33" w:rsidRPr="00B94E33">
        <w:rPr>
          <w:lang w:val="fr-FR"/>
        </w:rPr>
        <w:t>’</w:t>
      </w:r>
      <w:r w:rsidR="00F76F5A" w:rsidRPr="00B94E33">
        <w:rPr>
          <w:lang w:val="fr-FR"/>
        </w:rPr>
        <w:t>il y ait obligation positive, il doit être établi que les autorités savaient ou auraient dû savoir sur le moment qu</w:t>
      </w:r>
      <w:r w:rsidR="00B94E33" w:rsidRPr="00B94E33">
        <w:rPr>
          <w:lang w:val="fr-FR"/>
        </w:rPr>
        <w:t>’</w:t>
      </w:r>
      <w:r w:rsidR="00F76F5A" w:rsidRPr="00B94E33">
        <w:rPr>
          <w:lang w:val="fr-FR"/>
        </w:rPr>
        <w:t xml:space="preserve">un individu donné était </w:t>
      </w:r>
      <w:r w:rsidR="00F76F5A" w:rsidRPr="00B94E33">
        <w:rPr>
          <w:lang w:val="fr-FR"/>
        </w:rPr>
        <w:lastRenderedPageBreak/>
        <w:t>menacé de manière réelle et immédiate dans sa vie du fait des actes criminels d</w:t>
      </w:r>
      <w:r w:rsidR="00B94E33" w:rsidRPr="00B94E33">
        <w:rPr>
          <w:lang w:val="fr-FR"/>
        </w:rPr>
        <w:t>’</w:t>
      </w:r>
      <w:r w:rsidR="00F76F5A" w:rsidRPr="00B94E33">
        <w:rPr>
          <w:lang w:val="fr-FR"/>
        </w:rPr>
        <w:t>un tiers et qu</w:t>
      </w:r>
      <w:r w:rsidR="00B94E33" w:rsidRPr="00B94E33">
        <w:rPr>
          <w:lang w:val="fr-FR"/>
        </w:rPr>
        <w:t>’</w:t>
      </w:r>
      <w:r w:rsidR="00F76F5A" w:rsidRPr="00B94E33">
        <w:rPr>
          <w:lang w:val="fr-FR"/>
        </w:rPr>
        <w:t>elles n</w:t>
      </w:r>
      <w:r w:rsidR="00B94E33" w:rsidRPr="00B94E33">
        <w:rPr>
          <w:lang w:val="fr-FR"/>
        </w:rPr>
        <w:t>’</w:t>
      </w:r>
      <w:r w:rsidR="00F76F5A" w:rsidRPr="00B94E33">
        <w:rPr>
          <w:lang w:val="fr-FR"/>
        </w:rPr>
        <w:t>ont pas pris, dans le cadre de leurs pouvoirs, les mesures qui, d</w:t>
      </w:r>
      <w:r w:rsidR="00B94E33" w:rsidRPr="00B94E33">
        <w:rPr>
          <w:lang w:val="fr-FR"/>
        </w:rPr>
        <w:t>’</w:t>
      </w:r>
      <w:r w:rsidR="00F76F5A" w:rsidRPr="00B94E33">
        <w:rPr>
          <w:lang w:val="fr-FR"/>
        </w:rPr>
        <w:t>un point de vue raisonnable, auraient sans doute pallié ce risque (</w:t>
      </w:r>
      <w:r w:rsidR="00F76F5A" w:rsidRPr="00B94E33">
        <w:rPr>
          <w:i/>
          <w:lang w:val="fr-FR"/>
        </w:rPr>
        <w:t>Keenan c. Royaume-Uni</w:t>
      </w:r>
      <w:r w:rsidR="00F76F5A" w:rsidRPr="00B94E33">
        <w:rPr>
          <w:lang w:val="fr-FR"/>
        </w:rPr>
        <w:t xml:space="preserve">, no </w:t>
      </w:r>
      <w:hyperlink r:id="rId33" w:anchor="{&quot;appno&quot;:[&quot;27229/95&quot;]}" w:tgtFrame="_blank" w:history="1">
        <w:r w:rsidR="00F76F5A" w:rsidRPr="00B94E33">
          <w:rPr>
            <w:lang w:val="fr-FR"/>
          </w:rPr>
          <w:t>27229/95</w:t>
        </w:r>
      </w:hyperlink>
      <w:r w:rsidR="00F76F5A" w:rsidRPr="00B94E33">
        <w:rPr>
          <w:lang w:val="fr-FR"/>
        </w:rPr>
        <w:t>, §§ 89-90, CEDH 2001</w:t>
      </w:r>
      <w:r w:rsidR="00F76F5A" w:rsidRPr="00B94E33">
        <w:rPr>
          <w:lang w:val="fr-FR"/>
        </w:rPr>
        <w:noBreakHyphen/>
        <w:t xml:space="preserve">III, </w:t>
      </w:r>
      <w:r w:rsidR="00F76F5A" w:rsidRPr="00B94E33">
        <w:rPr>
          <w:i/>
          <w:lang w:val="fr-FR"/>
        </w:rPr>
        <w:t>Gongadzé c. Ukraine</w:t>
      </w:r>
      <w:r w:rsidR="00F76F5A" w:rsidRPr="00B94E33">
        <w:rPr>
          <w:lang w:val="fr-FR"/>
        </w:rPr>
        <w:t xml:space="preserve">, </w:t>
      </w:r>
      <w:r w:rsidR="00291991" w:rsidRPr="00B94E33">
        <w:rPr>
          <w:rFonts w:ascii="Times New Roman" w:eastAsia="Times New Roman" w:hAnsi="Times New Roman" w:cs="Times New Roman"/>
          <w:szCs w:val="24"/>
          <w:lang w:val="fr-FR"/>
        </w:rPr>
        <w:t>n</w:t>
      </w:r>
      <w:r w:rsidR="00291991" w:rsidRPr="00B94E33">
        <w:rPr>
          <w:rFonts w:ascii="Times New Roman" w:eastAsia="Times New Roman" w:hAnsi="Times New Roman" w:cs="Times New Roman"/>
          <w:szCs w:val="24"/>
          <w:vertAlign w:val="superscript"/>
          <w:lang w:val="fr-FR"/>
        </w:rPr>
        <w:t>o</w:t>
      </w:r>
      <w:r w:rsidR="00F76F5A" w:rsidRPr="00B94E33">
        <w:rPr>
          <w:lang w:val="fr-FR"/>
        </w:rPr>
        <w:t xml:space="preserve"> </w:t>
      </w:r>
      <w:hyperlink r:id="rId34" w:anchor="{&quot;appno&quot;:[&quot;34056/02&quot;]}" w:tgtFrame="_blank" w:history="1">
        <w:r w:rsidR="00F76F5A" w:rsidRPr="00B94E33">
          <w:rPr>
            <w:lang w:val="fr-FR"/>
          </w:rPr>
          <w:t>34056/02</w:t>
        </w:r>
      </w:hyperlink>
      <w:r w:rsidR="00F76F5A" w:rsidRPr="00B94E33">
        <w:rPr>
          <w:lang w:val="fr-FR"/>
        </w:rPr>
        <w:t>, § 165, CEDH 2005</w:t>
      </w:r>
      <w:r w:rsidR="00F76F5A" w:rsidRPr="00B94E33">
        <w:rPr>
          <w:lang w:val="fr-FR"/>
        </w:rPr>
        <w:noBreakHyphen/>
        <w:t xml:space="preserve">XI, et </w:t>
      </w:r>
      <w:r w:rsidR="00F76F5A" w:rsidRPr="00B94E33">
        <w:rPr>
          <w:i/>
          <w:lang w:val="fr-FR"/>
        </w:rPr>
        <w:t>Opuz</w:t>
      </w:r>
      <w:r w:rsidR="00F76F5A" w:rsidRPr="00B94E33">
        <w:rPr>
          <w:lang w:val="fr-FR"/>
        </w:rPr>
        <w:t xml:space="preserve"> précité, § 129</w:t>
      </w:r>
      <w:r w:rsidR="004940CE" w:rsidRPr="00B94E33">
        <w:rPr>
          <w:lang w:val="fr-FR"/>
        </w:rPr>
        <w:t>-130</w:t>
      </w:r>
      <w:r w:rsidR="00F76F5A" w:rsidRPr="00B94E33">
        <w:rPr>
          <w:lang w:val="fr-FR"/>
        </w:rPr>
        <w:t xml:space="preserve">). </w:t>
      </w:r>
      <w:r w:rsidR="0049330A" w:rsidRPr="00B94E33">
        <w:rPr>
          <w:lang w:val="fr-FR"/>
        </w:rPr>
        <w:t>Une autre considération pertinente est la nécessité de s</w:t>
      </w:r>
      <w:r w:rsidR="00B94E33" w:rsidRPr="00B94E33">
        <w:rPr>
          <w:lang w:val="fr-FR"/>
        </w:rPr>
        <w:t>’</w:t>
      </w:r>
      <w:r w:rsidR="0049330A" w:rsidRPr="00B94E33">
        <w:rPr>
          <w:lang w:val="fr-FR"/>
        </w:rPr>
        <w:t>assurer que la police exerce son pouvoir de juguler et de prévenir la criminalité en respectant pleinement les voies légales et autres garanties qui limitent légitimement l</w:t>
      </w:r>
      <w:r w:rsidR="00B94E33" w:rsidRPr="00B94E33">
        <w:rPr>
          <w:lang w:val="fr-FR"/>
        </w:rPr>
        <w:t>’</w:t>
      </w:r>
      <w:r w:rsidR="0049330A" w:rsidRPr="00B94E33">
        <w:rPr>
          <w:lang w:val="fr-FR"/>
        </w:rPr>
        <w:t>étendue de ses actes d</w:t>
      </w:r>
      <w:r w:rsidR="00B94E33" w:rsidRPr="00B94E33">
        <w:rPr>
          <w:lang w:val="fr-FR"/>
        </w:rPr>
        <w:t>’</w:t>
      </w:r>
      <w:r w:rsidR="0049330A" w:rsidRPr="00B94E33">
        <w:rPr>
          <w:lang w:val="fr-FR"/>
        </w:rPr>
        <w:t>investigations criminelles et de traduction des délinquants en justice, y compris les garanties figurant aux articles 5 et 8 de la Convention (</w:t>
      </w:r>
      <w:r w:rsidR="00F158D5" w:rsidRPr="00B94E33">
        <w:rPr>
          <w:i/>
          <w:lang w:val="fr-FR"/>
        </w:rPr>
        <w:t>Osman</w:t>
      </w:r>
      <w:r w:rsidR="00291991" w:rsidRPr="00B94E33">
        <w:rPr>
          <w:lang w:val="fr-FR"/>
        </w:rPr>
        <w:t>, précité, § 116 et</w:t>
      </w:r>
      <w:r w:rsidR="00F158D5" w:rsidRPr="00B94E33">
        <w:rPr>
          <w:lang w:val="fr-FR"/>
        </w:rPr>
        <w:t xml:space="preserve"> </w:t>
      </w:r>
      <w:r w:rsidR="0049330A" w:rsidRPr="00B94E33">
        <w:rPr>
          <w:i/>
          <w:lang w:val="fr-FR"/>
        </w:rPr>
        <w:t xml:space="preserve">Opuz, précité, </w:t>
      </w:r>
      <w:r w:rsidR="009A4363" w:rsidRPr="00B94E33">
        <w:rPr>
          <w:lang w:val="fr-FR"/>
        </w:rPr>
        <w:t>§ </w:t>
      </w:r>
      <w:r w:rsidR="0049330A" w:rsidRPr="00B94E33">
        <w:rPr>
          <w:lang w:val="fr-FR"/>
        </w:rPr>
        <w:t>129).</w:t>
      </w:r>
    </w:p>
    <w:p w:rsidR="00292DDB" w:rsidRPr="00B94E33" w:rsidRDefault="00F158D5" w:rsidP="00B94E33">
      <w:pPr>
        <w:pStyle w:val="ECHRPara"/>
        <w:rPr>
          <w:rFonts w:eastAsia="Times New Roman"/>
          <w:lang w:val="fr-FR"/>
        </w:rPr>
      </w:pPr>
      <w:r w:rsidRPr="00B94E33">
        <w:rPr>
          <w:rFonts w:ascii="Times New Roman" w:eastAsia="Times New Roman" w:hAnsi="Times New Roman" w:cs="Times New Roman"/>
          <w:szCs w:val="24"/>
          <w:lang w:val="fr-FR"/>
        </w:rPr>
        <w:fldChar w:fldCharType="begin"/>
      </w:r>
      <w:r w:rsidRPr="00B94E33">
        <w:rPr>
          <w:rFonts w:ascii="Times New Roman" w:eastAsia="Times New Roman" w:hAnsi="Times New Roman" w:cs="Times New Roman"/>
          <w:szCs w:val="24"/>
          <w:lang w:val="fr-FR"/>
        </w:rPr>
        <w:instrText xml:space="preserve"> SEQ level0 \*arabic </w:instrText>
      </w:r>
      <w:r w:rsidRPr="00B94E33">
        <w:rPr>
          <w:rFonts w:ascii="Times New Roman" w:eastAsia="Times New Roman" w:hAnsi="Times New Roman" w:cs="Times New Roman"/>
          <w:szCs w:val="24"/>
          <w:lang w:val="fr-FR"/>
        </w:rPr>
        <w:fldChar w:fldCharType="separate"/>
      </w:r>
      <w:r w:rsidR="00B94E33" w:rsidRPr="00B94E33">
        <w:rPr>
          <w:rFonts w:ascii="Times New Roman" w:eastAsia="Times New Roman" w:hAnsi="Times New Roman" w:cs="Times New Roman"/>
          <w:noProof/>
          <w:szCs w:val="24"/>
          <w:lang w:val="fr-FR"/>
        </w:rPr>
        <w:t>102</w:t>
      </w:r>
      <w:r w:rsidRPr="00B94E33">
        <w:rPr>
          <w:rFonts w:ascii="Times New Roman" w:eastAsia="Times New Roman" w:hAnsi="Times New Roman" w:cs="Times New Roman"/>
          <w:szCs w:val="24"/>
          <w:lang w:val="fr-FR"/>
        </w:rPr>
        <w:fldChar w:fldCharType="end"/>
      </w:r>
      <w:r w:rsidRPr="00B94E33">
        <w:rPr>
          <w:rFonts w:ascii="Times New Roman" w:eastAsia="Times New Roman" w:hAnsi="Times New Roman" w:cs="Times New Roman"/>
          <w:szCs w:val="24"/>
          <w:lang w:val="fr-FR"/>
        </w:rPr>
        <w:t>.  </w:t>
      </w:r>
      <w:r w:rsidR="00292DDB" w:rsidRPr="00B94E33">
        <w:rPr>
          <w:rFonts w:ascii="Times New Roman" w:eastAsia="Times New Roman" w:hAnsi="Times New Roman" w:cs="Times New Roman"/>
          <w:szCs w:val="24"/>
          <w:lang w:val="fr-FR"/>
        </w:rPr>
        <w:t xml:space="preserve">La Cour rappelle que, </w:t>
      </w:r>
      <w:r w:rsidR="00292DDB" w:rsidRPr="00B94E33">
        <w:rPr>
          <w:rFonts w:eastAsia="Times New Roman"/>
          <w:lang w:val="fr-FR"/>
        </w:rPr>
        <w:t>combinée avec l</w:t>
      </w:r>
      <w:r w:rsidR="00B94E33" w:rsidRPr="00B94E33">
        <w:rPr>
          <w:rFonts w:eastAsia="Times New Roman"/>
          <w:lang w:val="fr-FR"/>
        </w:rPr>
        <w:t>’</w:t>
      </w:r>
      <w:r w:rsidR="00292DDB" w:rsidRPr="00B94E33">
        <w:rPr>
          <w:rFonts w:eastAsia="Times New Roman"/>
          <w:lang w:val="fr-FR"/>
        </w:rPr>
        <w:t>article 3 de la Convention, l</w:t>
      </w:r>
      <w:r w:rsidR="00B94E33" w:rsidRPr="00B94E33">
        <w:rPr>
          <w:rFonts w:eastAsia="Times New Roman"/>
          <w:lang w:val="fr-FR"/>
        </w:rPr>
        <w:t>’</w:t>
      </w:r>
      <w:r w:rsidR="00292DDB" w:rsidRPr="00B94E33">
        <w:rPr>
          <w:rFonts w:eastAsia="Times New Roman"/>
          <w:lang w:val="fr-FR"/>
        </w:rPr>
        <w:t>obligation que l</w:t>
      </w:r>
      <w:r w:rsidR="00B94E33" w:rsidRPr="00B94E33">
        <w:rPr>
          <w:rFonts w:eastAsia="Times New Roman"/>
          <w:lang w:val="fr-FR"/>
        </w:rPr>
        <w:t>’</w:t>
      </w:r>
      <w:r w:rsidR="00292DDB" w:rsidRPr="00B94E33">
        <w:rPr>
          <w:rFonts w:eastAsia="Times New Roman"/>
          <w:lang w:val="fr-FR"/>
        </w:rPr>
        <w:t>article 1 de la Convention impose aux Hautes Parties contractantes de garantir à toute personne relevant de leur juridiction les droits et libertés consacrés par la Convention leur commande de prendre des mesures propres à empêcher que lesdites personnes ne soient soumises à des tortures, à des traitements ou à des châtiments inhumains ou dégradants, même administrés par des particuliers.</w:t>
      </w:r>
    </w:p>
    <w:p w:rsidR="00292DDB" w:rsidRPr="00B94E33" w:rsidRDefault="00292DDB" w:rsidP="00B94E33">
      <w:pPr>
        <w:pStyle w:val="ECHRPara"/>
        <w:rPr>
          <w:rFonts w:ascii="Times New Roman" w:eastAsia="Times New Roman" w:hAnsi="Times New Roman" w:cs="Times New Roman"/>
          <w:szCs w:val="24"/>
          <w:lang w:val="fr-FR"/>
        </w:rPr>
      </w:pPr>
      <w:r w:rsidRPr="00B94E33">
        <w:rPr>
          <w:rFonts w:ascii="Times New Roman" w:eastAsia="Times New Roman" w:hAnsi="Times New Roman" w:cs="Times New Roman"/>
          <w:szCs w:val="24"/>
          <w:lang w:val="fr-FR"/>
        </w:rPr>
        <w:fldChar w:fldCharType="begin"/>
      </w:r>
      <w:r w:rsidRPr="00B94E33">
        <w:rPr>
          <w:rFonts w:ascii="Times New Roman" w:eastAsia="Times New Roman" w:hAnsi="Times New Roman" w:cs="Times New Roman"/>
          <w:szCs w:val="24"/>
          <w:lang w:val="fr-FR"/>
        </w:rPr>
        <w:instrText xml:space="preserve"> SEQ level0 \*arabic </w:instrText>
      </w:r>
      <w:r w:rsidRPr="00B94E33">
        <w:rPr>
          <w:rFonts w:ascii="Times New Roman" w:eastAsia="Times New Roman" w:hAnsi="Times New Roman" w:cs="Times New Roman"/>
          <w:szCs w:val="24"/>
          <w:lang w:val="fr-FR"/>
        </w:rPr>
        <w:fldChar w:fldCharType="separate"/>
      </w:r>
      <w:r w:rsidR="00B94E33" w:rsidRPr="00B94E33">
        <w:rPr>
          <w:rFonts w:ascii="Times New Roman" w:eastAsia="Times New Roman" w:hAnsi="Times New Roman" w:cs="Times New Roman"/>
          <w:noProof/>
          <w:szCs w:val="24"/>
          <w:lang w:val="fr-FR"/>
        </w:rPr>
        <w:t>103</w:t>
      </w:r>
      <w:r w:rsidRPr="00B94E33">
        <w:rPr>
          <w:rFonts w:ascii="Times New Roman" w:eastAsia="Times New Roman" w:hAnsi="Times New Roman" w:cs="Times New Roman"/>
          <w:szCs w:val="24"/>
          <w:lang w:val="fr-FR"/>
        </w:rPr>
        <w:fldChar w:fldCharType="end"/>
      </w:r>
      <w:r w:rsidRPr="00B94E33">
        <w:rPr>
          <w:rFonts w:ascii="Times New Roman" w:eastAsia="Times New Roman" w:hAnsi="Times New Roman" w:cs="Times New Roman"/>
          <w:szCs w:val="24"/>
          <w:lang w:val="fr-FR"/>
        </w:rPr>
        <w:t>.  Cela étant, il n</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entre pas dans les attributions de la Cour de se substituer aux autorités nationales et d</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opérer à leur place un choix parmi le large éventail de mesures propres à garantir le respect des obligations positives que l</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article 3 de la Convention leur impose (</w:t>
      </w:r>
      <w:r w:rsidRPr="00B94E33">
        <w:rPr>
          <w:rFonts w:ascii="Times New Roman" w:eastAsia="Times New Roman" w:hAnsi="Times New Roman" w:cs="Times New Roman"/>
          <w:i/>
          <w:szCs w:val="24"/>
          <w:lang w:val="fr-FR"/>
        </w:rPr>
        <w:t>Đorđevi</w:t>
      </w:r>
      <w:r w:rsidRPr="00B94E33">
        <w:rPr>
          <w:rFonts w:ascii="Times New Roman" w:eastAsia="Times New Roman" w:hAnsi="Times New Roman" w:cs="Times New Roman"/>
          <w:szCs w:val="24"/>
          <w:lang w:val="fr-FR"/>
        </w:rPr>
        <w:t>ć, précité, § 165). Par ailleurs, en vertu de l</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article 19 de la Convention et du principe voulant que le but de celle-ci consiste à garantir des droits non pas théoriques ou illusoires, mais concrets et effectifs, la Cour doit veiller à ce que les États s</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acquittent correctement de leur obligation de protéger les droits des personnes placées sous leur juridiction (</w:t>
      </w:r>
      <w:r w:rsidRPr="00B94E33">
        <w:rPr>
          <w:rFonts w:ascii="Times New Roman" w:eastAsia="Times New Roman" w:hAnsi="Times New Roman" w:cs="Times New Roman"/>
          <w:i/>
          <w:szCs w:val="24"/>
          <w:lang w:val="fr-FR"/>
        </w:rPr>
        <w:t>Sandra Janković</w:t>
      </w:r>
      <w:r w:rsidRPr="00B94E33">
        <w:rPr>
          <w:rFonts w:ascii="Times New Roman" w:eastAsia="Times New Roman" w:hAnsi="Times New Roman" w:cs="Times New Roman"/>
          <w:szCs w:val="24"/>
          <w:lang w:val="fr-FR"/>
        </w:rPr>
        <w:t>, précité, §</w:t>
      </w:r>
      <w:r w:rsidR="004B08DB" w:rsidRPr="00B94E33">
        <w:rPr>
          <w:rFonts w:ascii="Times New Roman" w:eastAsia="Times New Roman" w:hAnsi="Times New Roman" w:cs="Times New Roman"/>
          <w:szCs w:val="24"/>
          <w:lang w:val="fr-FR"/>
        </w:rPr>
        <w:t> </w:t>
      </w:r>
      <w:r w:rsidRPr="00B94E33">
        <w:rPr>
          <w:rFonts w:ascii="Times New Roman" w:eastAsia="Times New Roman" w:hAnsi="Times New Roman" w:cs="Times New Roman"/>
          <w:szCs w:val="24"/>
          <w:lang w:val="fr-FR"/>
        </w:rPr>
        <w:t xml:space="preserve">46, et </w:t>
      </w:r>
      <w:r w:rsidRPr="00B94E33">
        <w:rPr>
          <w:rFonts w:ascii="Times New Roman" w:eastAsia="Times New Roman" w:hAnsi="Times New Roman" w:cs="Times New Roman"/>
          <w:i/>
          <w:szCs w:val="24"/>
          <w:lang w:val="fr-FR"/>
        </w:rPr>
        <w:t>Hajduová c. Slovaquie</w:t>
      </w:r>
      <w:r w:rsidRPr="00B94E33">
        <w:rPr>
          <w:rFonts w:ascii="Times New Roman" w:eastAsia="Times New Roman" w:hAnsi="Times New Roman" w:cs="Times New Roman"/>
          <w:szCs w:val="24"/>
          <w:lang w:val="fr-FR"/>
        </w:rPr>
        <w:t xml:space="preserve">, </w:t>
      </w:r>
      <w:r w:rsidRPr="00B94E33">
        <w:rPr>
          <w:rFonts w:ascii="Times New Roman" w:hAnsi="Times New Roman" w:cs="Times New Roman"/>
          <w:szCs w:val="24"/>
          <w:lang w:val="fr-FR"/>
        </w:rPr>
        <w:t>n</w:t>
      </w:r>
      <w:r w:rsidRPr="00B94E33">
        <w:rPr>
          <w:rFonts w:ascii="Times New Roman" w:hAnsi="Times New Roman" w:cs="Times New Roman"/>
          <w:szCs w:val="24"/>
          <w:vertAlign w:val="superscript"/>
          <w:lang w:val="fr-FR"/>
        </w:rPr>
        <w:t>o</w:t>
      </w:r>
      <w:r w:rsidRPr="00B94E33">
        <w:rPr>
          <w:rFonts w:ascii="Times New Roman" w:eastAsia="Times New Roman" w:hAnsi="Times New Roman" w:cs="Times New Roman"/>
          <w:szCs w:val="24"/>
          <w:lang w:val="fr-FR"/>
        </w:rPr>
        <w:t xml:space="preserve"> </w:t>
      </w:r>
      <w:hyperlink r:id="rId35" w:anchor="{&quot;appno&quot;:[&quot;2660/03&quot;]}" w:tgtFrame="_blank" w:history="1">
        <w:r w:rsidRPr="00B94E33">
          <w:rPr>
            <w:rFonts w:ascii="Times New Roman" w:eastAsia="Times New Roman" w:hAnsi="Times New Roman" w:cs="Times New Roman"/>
            <w:szCs w:val="24"/>
            <w:lang w:val="fr-FR"/>
          </w:rPr>
          <w:t>2660/03</w:t>
        </w:r>
      </w:hyperlink>
      <w:r w:rsidRPr="00B94E33">
        <w:rPr>
          <w:rFonts w:ascii="Times New Roman" w:eastAsia="Times New Roman" w:hAnsi="Times New Roman" w:cs="Times New Roman"/>
          <w:szCs w:val="24"/>
          <w:lang w:val="fr-FR"/>
        </w:rPr>
        <w:t>, § 47, 30 novembre 2010). La question de l</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adéquation de la réponse des autorités peut soulever un problème au regard de la Convention (</w:t>
      </w:r>
      <w:r w:rsidRPr="00B94E33">
        <w:rPr>
          <w:rFonts w:ascii="Times New Roman" w:eastAsia="Times New Roman" w:hAnsi="Times New Roman" w:cs="Times New Roman"/>
          <w:i/>
          <w:szCs w:val="24"/>
          <w:lang w:val="fr-FR"/>
        </w:rPr>
        <w:t>Bevacqua et S</w:t>
      </w:r>
      <w:r w:rsidRPr="00B94E33">
        <w:rPr>
          <w:rFonts w:ascii="Times New Roman" w:eastAsia="Times New Roman" w:hAnsi="Times New Roman" w:cs="Times New Roman"/>
          <w:szCs w:val="24"/>
          <w:lang w:val="fr-FR"/>
        </w:rPr>
        <w:t>., précité, § 79).</w:t>
      </w:r>
    </w:p>
    <w:p w:rsidR="00292DDB" w:rsidRPr="00B94E33" w:rsidRDefault="00292DDB" w:rsidP="00B94E33">
      <w:pPr>
        <w:pStyle w:val="ECHRPara"/>
        <w:rPr>
          <w:rFonts w:ascii="Times New Roman" w:eastAsia="Times New Roman" w:hAnsi="Times New Roman" w:cs="Times New Roman"/>
          <w:szCs w:val="24"/>
          <w:lang w:val="fr-FR"/>
        </w:rPr>
      </w:pPr>
      <w:r w:rsidRPr="00B94E33">
        <w:rPr>
          <w:rFonts w:ascii="Times New Roman" w:eastAsia="Times New Roman" w:hAnsi="Times New Roman" w:cs="Times New Roman"/>
          <w:szCs w:val="24"/>
          <w:lang w:val="fr-FR"/>
        </w:rPr>
        <w:fldChar w:fldCharType="begin"/>
      </w:r>
      <w:r w:rsidRPr="00B94E33">
        <w:rPr>
          <w:rFonts w:ascii="Times New Roman" w:eastAsia="Times New Roman" w:hAnsi="Times New Roman" w:cs="Times New Roman"/>
          <w:szCs w:val="24"/>
          <w:lang w:val="fr-FR"/>
        </w:rPr>
        <w:instrText xml:space="preserve"> SEQ level0 \*arabic </w:instrText>
      </w:r>
      <w:r w:rsidRPr="00B94E33">
        <w:rPr>
          <w:rFonts w:ascii="Times New Roman" w:eastAsia="Times New Roman" w:hAnsi="Times New Roman" w:cs="Times New Roman"/>
          <w:szCs w:val="24"/>
          <w:lang w:val="fr-FR"/>
        </w:rPr>
        <w:fldChar w:fldCharType="separate"/>
      </w:r>
      <w:r w:rsidR="00B94E33" w:rsidRPr="00B94E33">
        <w:rPr>
          <w:rFonts w:ascii="Times New Roman" w:eastAsia="Times New Roman" w:hAnsi="Times New Roman" w:cs="Times New Roman"/>
          <w:noProof/>
          <w:szCs w:val="24"/>
          <w:lang w:val="fr-FR"/>
        </w:rPr>
        <w:t>104</w:t>
      </w:r>
      <w:r w:rsidRPr="00B94E33">
        <w:rPr>
          <w:rFonts w:ascii="Times New Roman" w:eastAsia="Times New Roman" w:hAnsi="Times New Roman" w:cs="Times New Roman"/>
          <w:szCs w:val="24"/>
          <w:lang w:val="fr-FR"/>
        </w:rPr>
        <w:fldChar w:fldCharType="end"/>
      </w:r>
      <w:r w:rsidRPr="00B94E33">
        <w:rPr>
          <w:rFonts w:ascii="Times New Roman" w:eastAsia="Times New Roman" w:hAnsi="Times New Roman" w:cs="Times New Roman"/>
          <w:szCs w:val="24"/>
          <w:lang w:val="fr-FR"/>
        </w:rPr>
        <w:t>.  L</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obligation positive de protéger l</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intégrité physique de l</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individu s</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étend aux questions concernant l</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effectivité d</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une enquête pénale, ce qui ne saurait être limité aux seuls cas de mauvais traitements infligés par des agents de l</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État (</w:t>
      </w:r>
      <w:r w:rsidRPr="00B94E33">
        <w:rPr>
          <w:rFonts w:ascii="Times New Roman" w:eastAsia="Times New Roman" w:hAnsi="Times New Roman" w:cs="Times New Roman"/>
          <w:i/>
          <w:szCs w:val="24"/>
          <w:lang w:val="fr-FR"/>
        </w:rPr>
        <w:t>M.C. c. Bulgarie</w:t>
      </w:r>
      <w:r w:rsidRPr="00B94E33">
        <w:rPr>
          <w:rFonts w:ascii="Times New Roman" w:eastAsia="Times New Roman" w:hAnsi="Times New Roman" w:cs="Times New Roman"/>
          <w:szCs w:val="24"/>
          <w:lang w:val="fr-FR"/>
        </w:rPr>
        <w:t>, n</w:t>
      </w:r>
      <w:r w:rsidRPr="00B94E33">
        <w:rPr>
          <w:rFonts w:ascii="Times New Roman" w:eastAsia="Times New Roman" w:hAnsi="Times New Roman" w:cs="Times New Roman"/>
          <w:szCs w:val="24"/>
          <w:vertAlign w:val="superscript"/>
          <w:lang w:val="fr-FR"/>
        </w:rPr>
        <w:t>o</w:t>
      </w:r>
      <w:r w:rsidRPr="00B94E33">
        <w:rPr>
          <w:rFonts w:ascii="Times New Roman" w:eastAsia="Times New Roman" w:hAnsi="Times New Roman" w:cs="Times New Roman"/>
          <w:szCs w:val="24"/>
          <w:lang w:val="fr-FR"/>
        </w:rPr>
        <w:t xml:space="preserve"> </w:t>
      </w:r>
      <w:hyperlink r:id="rId36" w:anchor="{&quot;appno&quot;:[&quot;39272/98&quot;]}" w:tgtFrame="_blank" w:history="1">
        <w:r w:rsidRPr="00B94E33">
          <w:rPr>
            <w:rFonts w:ascii="Times New Roman" w:eastAsia="Times New Roman" w:hAnsi="Times New Roman" w:cs="Times New Roman"/>
            <w:szCs w:val="24"/>
            <w:lang w:val="fr-FR"/>
          </w:rPr>
          <w:t>39272/98</w:t>
        </w:r>
      </w:hyperlink>
      <w:r w:rsidRPr="00B94E33">
        <w:rPr>
          <w:rFonts w:ascii="Times New Roman" w:eastAsia="Times New Roman" w:hAnsi="Times New Roman" w:cs="Times New Roman"/>
          <w:szCs w:val="24"/>
          <w:lang w:val="fr-FR"/>
        </w:rPr>
        <w:t>, § 151, CEDH 2003</w:t>
      </w:r>
      <w:r w:rsidRPr="00B94E33">
        <w:rPr>
          <w:rFonts w:ascii="Times New Roman" w:eastAsia="Times New Roman" w:hAnsi="Times New Roman" w:cs="Times New Roman"/>
          <w:szCs w:val="24"/>
          <w:lang w:val="fr-FR"/>
        </w:rPr>
        <w:noBreakHyphen/>
        <w:t>XII).</w:t>
      </w:r>
    </w:p>
    <w:p w:rsidR="00292DDB" w:rsidRPr="00B94E33" w:rsidRDefault="00292DDB" w:rsidP="00B94E33">
      <w:pPr>
        <w:pStyle w:val="ECHRPara"/>
        <w:rPr>
          <w:rFonts w:ascii="Times New Roman" w:hAnsi="Times New Roman" w:cs="Times New Roman"/>
          <w:i/>
          <w:szCs w:val="24"/>
          <w:lang w:val="fr-FR"/>
        </w:rPr>
      </w:pPr>
      <w:r w:rsidRPr="00B94E33">
        <w:rPr>
          <w:rFonts w:ascii="Times New Roman" w:eastAsia="Times New Roman" w:hAnsi="Times New Roman" w:cs="Times New Roman"/>
          <w:szCs w:val="24"/>
          <w:lang w:val="fr-FR"/>
        </w:rPr>
        <w:fldChar w:fldCharType="begin"/>
      </w:r>
      <w:r w:rsidRPr="00B94E33">
        <w:rPr>
          <w:rFonts w:ascii="Times New Roman" w:eastAsia="Times New Roman" w:hAnsi="Times New Roman" w:cs="Times New Roman"/>
          <w:szCs w:val="24"/>
          <w:lang w:val="fr-FR"/>
        </w:rPr>
        <w:instrText xml:space="preserve"> SEQ level0 \*arabic </w:instrText>
      </w:r>
      <w:r w:rsidRPr="00B94E33">
        <w:rPr>
          <w:rFonts w:ascii="Times New Roman" w:eastAsia="Times New Roman" w:hAnsi="Times New Roman" w:cs="Times New Roman"/>
          <w:szCs w:val="24"/>
          <w:lang w:val="fr-FR"/>
        </w:rPr>
        <w:fldChar w:fldCharType="separate"/>
      </w:r>
      <w:r w:rsidR="00B94E33" w:rsidRPr="00B94E33">
        <w:rPr>
          <w:rFonts w:ascii="Times New Roman" w:eastAsia="Times New Roman" w:hAnsi="Times New Roman" w:cs="Times New Roman"/>
          <w:noProof/>
          <w:szCs w:val="24"/>
          <w:lang w:val="fr-FR"/>
        </w:rPr>
        <w:t>105</w:t>
      </w:r>
      <w:r w:rsidRPr="00B94E33">
        <w:rPr>
          <w:rFonts w:ascii="Times New Roman" w:eastAsia="Times New Roman" w:hAnsi="Times New Roman" w:cs="Times New Roman"/>
          <w:szCs w:val="24"/>
          <w:lang w:val="fr-FR"/>
        </w:rPr>
        <w:fldChar w:fldCharType="end"/>
      </w:r>
      <w:r w:rsidRPr="00B94E33">
        <w:rPr>
          <w:rFonts w:ascii="Times New Roman" w:eastAsia="Times New Roman" w:hAnsi="Times New Roman" w:cs="Times New Roman"/>
          <w:szCs w:val="24"/>
          <w:lang w:val="fr-FR"/>
        </w:rPr>
        <w:t>.  Cet aspect de l</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obligation positive ne requiert pas nécessairement une condamnation mais l</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application effective des lois, notamment pénales, pour assurer la protection des droits garantis par l</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article 3 de la Convention (</w:t>
      </w:r>
      <w:r w:rsidRPr="00B94E33">
        <w:rPr>
          <w:rFonts w:ascii="Times New Roman" w:hAnsi="Times New Roman" w:cs="Times New Roman"/>
          <w:i/>
          <w:szCs w:val="24"/>
          <w:lang w:val="fr-FR"/>
        </w:rPr>
        <w:t>M.G.</w:t>
      </w:r>
      <w:r w:rsidRPr="00B94E33">
        <w:rPr>
          <w:rFonts w:ascii="Times New Roman" w:hAnsi="Times New Roman" w:cs="Times New Roman"/>
          <w:szCs w:val="24"/>
          <w:lang w:val="fr-FR"/>
        </w:rPr>
        <w:t xml:space="preserve"> </w:t>
      </w:r>
      <w:r w:rsidRPr="00B94E33">
        <w:rPr>
          <w:rFonts w:ascii="Times New Roman" w:hAnsi="Times New Roman" w:cs="Times New Roman"/>
          <w:i/>
          <w:szCs w:val="24"/>
          <w:lang w:val="fr-FR"/>
        </w:rPr>
        <w:t>c. Turquie</w:t>
      </w:r>
      <w:r w:rsidRPr="00B94E33">
        <w:rPr>
          <w:rFonts w:ascii="Times New Roman" w:hAnsi="Times New Roman" w:cs="Times New Roman"/>
          <w:snapToGrid w:val="0"/>
          <w:szCs w:val="24"/>
          <w:lang w:val="fr-FR"/>
        </w:rPr>
        <w:t xml:space="preserve">, </w:t>
      </w:r>
      <w:r w:rsidR="007C4928" w:rsidRPr="00B94E33">
        <w:rPr>
          <w:rFonts w:ascii="Times New Roman" w:hAnsi="Times New Roman" w:cs="Times New Roman"/>
          <w:szCs w:val="24"/>
          <w:lang w:val="fr-FR"/>
        </w:rPr>
        <w:t>précité</w:t>
      </w:r>
      <w:r w:rsidRPr="00B94E33">
        <w:rPr>
          <w:rFonts w:ascii="Times New Roman" w:hAnsi="Times New Roman" w:cs="Times New Roman"/>
          <w:snapToGrid w:val="0"/>
          <w:szCs w:val="24"/>
          <w:lang w:val="fr-FR"/>
        </w:rPr>
        <w:t>, §</w:t>
      </w:r>
      <w:r w:rsidR="007C4928" w:rsidRPr="00B94E33">
        <w:rPr>
          <w:rFonts w:ascii="Times New Roman" w:hAnsi="Times New Roman" w:cs="Times New Roman"/>
          <w:snapToGrid w:val="0"/>
          <w:szCs w:val="24"/>
          <w:lang w:val="fr-FR"/>
        </w:rPr>
        <w:t xml:space="preserve"> 80)</w:t>
      </w:r>
      <w:r w:rsidRPr="00B94E33">
        <w:rPr>
          <w:rFonts w:ascii="Times New Roman" w:eastAsia="Times New Roman" w:hAnsi="Times New Roman" w:cs="Times New Roman"/>
          <w:szCs w:val="24"/>
          <w:lang w:val="fr-FR"/>
        </w:rPr>
        <w:t>.</w:t>
      </w:r>
    </w:p>
    <w:p w:rsidR="00292DDB" w:rsidRPr="00B94E33" w:rsidRDefault="00292DDB" w:rsidP="00B94E33">
      <w:pPr>
        <w:pStyle w:val="ECHRPara"/>
        <w:rPr>
          <w:rFonts w:ascii="Times New Roman" w:eastAsia="Times New Roman" w:hAnsi="Times New Roman" w:cs="Times New Roman"/>
          <w:szCs w:val="24"/>
          <w:lang w:val="fr-FR"/>
        </w:rPr>
      </w:pPr>
      <w:r w:rsidRPr="00B94E33">
        <w:rPr>
          <w:rFonts w:ascii="Times New Roman" w:eastAsia="Times New Roman" w:hAnsi="Times New Roman" w:cs="Times New Roman"/>
          <w:szCs w:val="24"/>
          <w:lang w:val="fr-FR"/>
        </w:rPr>
        <w:fldChar w:fldCharType="begin"/>
      </w:r>
      <w:r w:rsidRPr="00B94E33">
        <w:rPr>
          <w:rFonts w:ascii="Times New Roman" w:eastAsia="Times New Roman" w:hAnsi="Times New Roman" w:cs="Times New Roman"/>
          <w:szCs w:val="24"/>
          <w:lang w:val="fr-FR"/>
        </w:rPr>
        <w:instrText xml:space="preserve"> SEQ level0 \*arabic </w:instrText>
      </w:r>
      <w:r w:rsidRPr="00B94E33">
        <w:rPr>
          <w:rFonts w:ascii="Times New Roman" w:eastAsia="Times New Roman" w:hAnsi="Times New Roman" w:cs="Times New Roman"/>
          <w:szCs w:val="24"/>
          <w:lang w:val="fr-FR"/>
        </w:rPr>
        <w:fldChar w:fldCharType="separate"/>
      </w:r>
      <w:r w:rsidR="00B94E33" w:rsidRPr="00B94E33">
        <w:rPr>
          <w:rFonts w:ascii="Times New Roman" w:eastAsia="Times New Roman" w:hAnsi="Times New Roman" w:cs="Times New Roman"/>
          <w:noProof/>
          <w:szCs w:val="24"/>
          <w:lang w:val="fr-FR"/>
        </w:rPr>
        <w:t>106</w:t>
      </w:r>
      <w:r w:rsidRPr="00B94E33">
        <w:rPr>
          <w:rFonts w:ascii="Times New Roman" w:eastAsia="Times New Roman" w:hAnsi="Times New Roman" w:cs="Times New Roman"/>
          <w:szCs w:val="24"/>
          <w:lang w:val="fr-FR"/>
        </w:rPr>
        <w:fldChar w:fldCharType="end"/>
      </w:r>
      <w:r w:rsidRPr="00B94E33">
        <w:rPr>
          <w:rFonts w:ascii="Times New Roman" w:eastAsia="Times New Roman" w:hAnsi="Times New Roman" w:cs="Times New Roman"/>
          <w:szCs w:val="24"/>
          <w:lang w:val="fr-FR"/>
        </w:rPr>
        <w:t>.  Une exigence de célérité et de diligence raisonnable est implicite dans l</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obligation d</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enquêter. Les mécanismes de protection prévus en droit interne doivent fonctionner en pratique dans des délais raisonnables permettant de conclure l</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examen au fond des affaires concrètes qui leur sont soumises (</w:t>
      </w:r>
      <w:r w:rsidRPr="00B94E33">
        <w:rPr>
          <w:rFonts w:ascii="Times New Roman" w:eastAsia="Times New Roman" w:hAnsi="Times New Roman" w:cs="Times New Roman"/>
          <w:i/>
          <w:szCs w:val="24"/>
          <w:lang w:val="fr-FR"/>
        </w:rPr>
        <w:t>Opuz</w:t>
      </w:r>
      <w:r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i/>
          <w:szCs w:val="24"/>
          <w:lang w:val="fr-FR"/>
        </w:rPr>
        <w:t xml:space="preserve"> </w:t>
      </w:r>
      <w:r w:rsidR="00E85EF2" w:rsidRPr="00B94E33">
        <w:rPr>
          <w:rFonts w:ascii="Times New Roman" w:eastAsia="Times New Roman" w:hAnsi="Times New Roman" w:cs="Times New Roman"/>
          <w:szCs w:val="24"/>
          <w:lang w:val="fr-FR"/>
        </w:rPr>
        <w:t xml:space="preserve">précité, §§ 150-151). </w:t>
      </w:r>
      <w:r w:rsidRPr="00B94E33">
        <w:rPr>
          <w:rFonts w:ascii="Times New Roman" w:eastAsia="Times New Roman" w:hAnsi="Times New Roman" w:cs="Times New Roman"/>
          <w:szCs w:val="24"/>
          <w:lang w:val="fr-FR"/>
        </w:rPr>
        <w:t>En effet, l</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obligation de l</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 xml:space="preserve">État au </w:t>
      </w:r>
      <w:r w:rsidRPr="00B94E33">
        <w:rPr>
          <w:rFonts w:ascii="Times New Roman" w:eastAsia="Times New Roman" w:hAnsi="Times New Roman" w:cs="Times New Roman"/>
          <w:szCs w:val="24"/>
          <w:lang w:val="fr-FR"/>
        </w:rPr>
        <w:lastRenderedPageBreak/>
        <w:t>regard de l</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article 3 de la Convention ne peut être réputée satisfaite si les mécanismes de protection prévus en droit interne n</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existent qu</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en théorie : il faut surtout qu</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ils fonctionnent effectivement en pratique, ce qui suppose un examen de l</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affaire prompt et sans retard inutile.</w:t>
      </w:r>
    </w:p>
    <w:p w:rsidR="007D4E39" w:rsidRPr="00B94E33" w:rsidRDefault="0056713F" w:rsidP="00B94E33">
      <w:pPr>
        <w:pStyle w:val="ECHRHeading3"/>
        <w:rPr>
          <w:lang w:val="fr-FR"/>
        </w:rPr>
      </w:pPr>
      <w:r w:rsidRPr="00B94E33">
        <w:rPr>
          <w:lang w:val="fr-FR"/>
        </w:rPr>
        <w:t>2.</w:t>
      </w:r>
      <w:r w:rsidR="007D4E39" w:rsidRPr="00B94E33">
        <w:rPr>
          <w:lang w:val="fr-FR"/>
        </w:rPr>
        <w:t>  Application en l</w:t>
      </w:r>
      <w:r w:rsidR="00B94E33" w:rsidRPr="00B94E33">
        <w:rPr>
          <w:lang w:val="fr-FR"/>
        </w:rPr>
        <w:t>’</w:t>
      </w:r>
      <w:r w:rsidR="007D4E39" w:rsidRPr="00B94E33">
        <w:rPr>
          <w:lang w:val="fr-FR"/>
        </w:rPr>
        <w:t>espèce des principes susmentionnés</w:t>
      </w:r>
    </w:p>
    <w:p w:rsidR="008145BF" w:rsidRPr="00B94E33" w:rsidRDefault="0056713F" w:rsidP="00B94E33">
      <w:pPr>
        <w:pStyle w:val="ECHRHeading4"/>
        <w:rPr>
          <w:lang w:val="fr-FR"/>
        </w:rPr>
      </w:pPr>
      <w:r w:rsidRPr="00B94E33">
        <w:rPr>
          <w:lang w:val="fr-FR"/>
        </w:rPr>
        <w:t>a)</w:t>
      </w:r>
      <w:r w:rsidR="00EB1AD3" w:rsidRPr="00B94E33">
        <w:rPr>
          <w:lang w:val="fr-FR"/>
        </w:rPr>
        <w:t>  </w:t>
      </w:r>
      <w:r w:rsidR="008145BF" w:rsidRPr="00B94E33">
        <w:rPr>
          <w:lang w:val="fr-FR"/>
        </w:rPr>
        <w:t>En ce qui concerne l</w:t>
      </w:r>
      <w:r w:rsidR="00B94E33" w:rsidRPr="00B94E33">
        <w:rPr>
          <w:lang w:val="fr-FR"/>
        </w:rPr>
        <w:t>’</w:t>
      </w:r>
      <w:r w:rsidR="008145BF" w:rsidRPr="00B94E33">
        <w:rPr>
          <w:lang w:val="fr-FR"/>
        </w:rPr>
        <w:t>article 2</w:t>
      </w:r>
    </w:p>
    <w:p w:rsidR="0056713F" w:rsidRPr="00B94E33" w:rsidRDefault="002F5ECE"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107</w:t>
      </w:r>
      <w:r w:rsidRPr="00B94E33">
        <w:rPr>
          <w:lang w:val="fr-FR"/>
        </w:rPr>
        <w:fldChar w:fldCharType="end"/>
      </w:r>
      <w:r w:rsidRPr="00B94E33">
        <w:rPr>
          <w:lang w:val="fr-FR"/>
        </w:rPr>
        <w:t>.  </w:t>
      </w:r>
      <w:r w:rsidR="008C0393" w:rsidRPr="00B94E33">
        <w:rPr>
          <w:lang w:val="fr-FR"/>
        </w:rPr>
        <w:t>La</w:t>
      </w:r>
      <w:r w:rsidRPr="00B94E33">
        <w:rPr>
          <w:lang w:val="fr-FR"/>
        </w:rPr>
        <w:t xml:space="preserve"> </w:t>
      </w:r>
      <w:r w:rsidR="008C0393" w:rsidRPr="00B94E33">
        <w:rPr>
          <w:lang w:val="fr-FR"/>
        </w:rPr>
        <w:t xml:space="preserve">Cour </w:t>
      </w:r>
      <w:r w:rsidRPr="00B94E33">
        <w:rPr>
          <w:lang w:val="fr-FR"/>
        </w:rPr>
        <w:t xml:space="preserve">observe </w:t>
      </w:r>
      <w:r w:rsidR="008C0393" w:rsidRPr="00B94E33">
        <w:rPr>
          <w:lang w:val="fr-FR"/>
        </w:rPr>
        <w:t>tout d</w:t>
      </w:r>
      <w:r w:rsidR="00B94E33" w:rsidRPr="00B94E33">
        <w:rPr>
          <w:lang w:val="fr-FR"/>
        </w:rPr>
        <w:t>’</w:t>
      </w:r>
      <w:r w:rsidR="008C0393" w:rsidRPr="00B94E33">
        <w:rPr>
          <w:lang w:val="fr-FR"/>
        </w:rPr>
        <w:t xml:space="preserve">abord </w:t>
      </w:r>
      <w:r w:rsidRPr="00B94E33">
        <w:rPr>
          <w:lang w:val="fr-FR"/>
        </w:rPr>
        <w:t>qu</w:t>
      </w:r>
      <w:r w:rsidR="00B94E33" w:rsidRPr="00B94E33">
        <w:rPr>
          <w:lang w:val="fr-FR"/>
        </w:rPr>
        <w:t>’</w:t>
      </w:r>
      <w:r w:rsidRPr="00B94E33">
        <w:rPr>
          <w:lang w:val="fr-FR"/>
        </w:rPr>
        <w:t>il ne fait aucun doute que l</w:t>
      </w:r>
      <w:r w:rsidR="00B94E33" w:rsidRPr="00B94E33">
        <w:rPr>
          <w:lang w:val="fr-FR"/>
        </w:rPr>
        <w:t>’</w:t>
      </w:r>
      <w:r w:rsidR="009A4363" w:rsidRPr="00B94E33">
        <w:rPr>
          <w:lang w:val="fr-FR"/>
        </w:rPr>
        <w:t>article </w:t>
      </w:r>
      <w:r w:rsidRPr="00B94E33">
        <w:rPr>
          <w:lang w:val="fr-FR"/>
        </w:rPr>
        <w:t>2 de la Convention</w:t>
      </w:r>
      <w:r w:rsidR="008C0393" w:rsidRPr="00B94E33">
        <w:rPr>
          <w:lang w:val="fr-FR"/>
        </w:rPr>
        <w:t xml:space="preserve"> s</w:t>
      </w:r>
      <w:r w:rsidR="00B94E33" w:rsidRPr="00B94E33">
        <w:rPr>
          <w:lang w:val="fr-FR"/>
        </w:rPr>
        <w:t>’</w:t>
      </w:r>
      <w:r w:rsidR="008C0393" w:rsidRPr="00B94E33">
        <w:rPr>
          <w:lang w:val="fr-FR"/>
        </w:rPr>
        <w:t>applique à la situation résultant du décès du fils de la requérante.</w:t>
      </w:r>
    </w:p>
    <w:p w:rsidR="008145BF" w:rsidRPr="00B94E33" w:rsidRDefault="008145BF" w:rsidP="00B94E33">
      <w:pPr>
        <w:pStyle w:val="ECHRPara"/>
        <w:rPr>
          <w:rFonts w:ascii="Times New Roman" w:eastAsia="Times New Roman" w:hAnsi="Times New Roman" w:cs="Times New Roman"/>
          <w:szCs w:val="24"/>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108</w:t>
      </w:r>
      <w:r w:rsidRPr="00B94E33">
        <w:rPr>
          <w:lang w:val="fr-FR"/>
        </w:rPr>
        <w:fldChar w:fldCharType="end"/>
      </w:r>
      <w:r w:rsidRPr="00B94E33">
        <w:rPr>
          <w:lang w:val="fr-FR"/>
        </w:rPr>
        <w:t>.  </w:t>
      </w:r>
      <w:r w:rsidR="008C0393" w:rsidRPr="00B94E33">
        <w:rPr>
          <w:lang w:val="fr-FR"/>
        </w:rPr>
        <w:t>Elle</w:t>
      </w:r>
      <w:r w:rsidRPr="00B94E33">
        <w:rPr>
          <w:lang w:val="fr-FR"/>
        </w:rPr>
        <w:t xml:space="preserve"> note </w:t>
      </w:r>
      <w:r w:rsidR="008C0393" w:rsidRPr="00B94E33">
        <w:rPr>
          <w:lang w:val="fr-FR"/>
        </w:rPr>
        <w:t xml:space="preserve">ensuite </w:t>
      </w:r>
      <w:r w:rsidRPr="00B94E33">
        <w:rPr>
          <w:lang w:val="fr-FR"/>
        </w:rPr>
        <w:t>qu</w:t>
      </w:r>
      <w:r w:rsidR="00B94E33" w:rsidRPr="00B94E33">
        <w:rPr>
          <w:lang w:val="fr-FR"/>
        </w:rPr>
        <w:t>’</w:t>
      </w:r>
      <w:r w:rsidRPr="00B94E33">
        <w:rPr>
          <w:lang w:val="fr-FR"/>
        </w:rPr>
        <w:t>en l</w:t>
      </w:r>
      <w:r w:rsidR="00B94E33" w:rsidRPr="00B94E33">
        <w:rPr>
          <w:lang w:val="fr-FR"/>
        </w:rPr>
        <w:t>’</w:t>
      </w:r>
      <w:r w:rsidRPr="00B94E33">
        <w:rPr>
          <w:lang w:val="fr-FR"/>
        </w:rPr>
        <w:t>espèce, la force utilisée à l</w:t>
      </w:r>
      <w:r w:rsidR="00B94E33" w:rsidRPr="00B94E33">
        <w:rPr>
          <w:lang w:val="fr-FR"/>
        </w:rPr>
        <w:t>’</w:t>
      </w:r>
      <w:r w:rsidRPr="00B94E33">
        <w:rPr>
          <w:lang w:val="fr-FR"/>
        </w:rPr>
        <w:t>encontre de la requérante ne fut en définitive pas meurtrière. Toutefois, cet élément n</w:t>
      </w:r>
      <w:r w:rsidR="00B94E33" w:rsidRPr="00B94E33">
        <w:rPr>
          <w:lang w:val="fr-FR"/>
        </w:rPr>
        <w:t>’</w:t>
      </w:r>
      <w:r w:rsidRPr="00B94E33">
        <w:rPr>
          <w:lang w:val="fr-FR"/>
        </w:rPr>
        <w:t>exclut pas en principe un examen des griefs sous l</w:t>
      </w:r>
      <w:r w:rsidR="00B94E33" w:rsidRPr="00B94E33">
        <w:rPr>
          <w:lang w:val="fr-FR"/>
        </w:rPr>
        <w:t>’</w:t>
      </w:r>
      <w:r w:rsidRPr="00B94E33">
        <w:rPr>
          <w:lang w:val="fr-FR"/>
        </w:rPr>
        <w:t>angle de l</w:t>
      </w:r>
      <w:r w:rsidR="00B94E33" w:rsidRPr="00B94E33">
        <w:rPr>
          <w:lang w:val="fr-FR"/>
        </w:rPr>
        <w:t>’</w:t>
      </w:r>
      <w:r w:rsidRPr="00B94E33">
        <w:rPr>
          <w:lang w:val="fr-FR"/>
        </w:rPr>
        <w:t>article 2, dont le texte, pris dans son ensemble, démontre qu</w:t>
      </w:r>
      <w:r w:rsidR="00B94E33" w:rsidRPr="00B94E33">
        <w:rPr>
          <w:lang w:val="fr-FR"/>
        </w:rPr>
        <w:t>’</w:t>
      </w:r>
      <w:r w:rsidRPr="00B94E33">
        <w:rPr>
          <w:lang w:val="fr-FR"/>
        </w:rPr>
        <w:t>il ne vise pas uniquement l</w:t>
      </w:r>
      <w:r w:rsidR="00B94E33" w:rsidRPr="00B94E33">
        <w:rPr>
          <w:lang w:val="fr-FR"/>
        </w:rPr>
        <w:t>’</w:t>
      </w:r>
      <w:r w:rsidRPr="00B94E33">
        <w:rPr>
          <w:lang w:val="fr-FR"/>
        </w:rPr>
        <w:t xml:space="preserve">homicide intentionnel </w:t>
      </w:r>
      <w:r w:rsidRPr="00B94E33">
        <w:rPr>
          <w:rFonts w:ascii="Times New Roman" w:eastAsia="Times New Roman" w:hAnsi="Times New Roman" w:cs="Times New Roman"/>
          <w:szCs w:val="24"/>
          <w:lang w:val="fr-FR"/>
        </w:rPr>
        <w:t>mais il concerne également les situations dans lesquelles il est possible d</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avoir recours à la force, ce qui peut conduire à donner la mort de façon involontaire (</w:t>
      </w:r>
      <w:r w:rsidRPr="00B94E33">
        <w:rPr>
          <w:rFonts w:ascii="Times New Roman" w:eastAsia="Times New Roman" w:hAnsi="Times New Roman" w:cs="Times New Roman"/>
          <w:i/>
          <w:szCs w:val="24"/>
          <w:lang w:val="fr-FR"/>
        </w:rPr>
        <w:t>Makaratzis c.</w:t>
      </w:r>
      <w:r w:rsidR="004B08DB" w:rsidRPr="00B94E33">
        <w:rPr>
          <w:rFonts w:ascii="Times New Roman" w:eastAsia="Times New Roman" w:hAnsi="Times New Roman" w:cs="Times New Roman"/>
          <w:i/>
          <w:szCs w:val="24"/>
          <w:lang w:val="fr-FR"/>
        </w:rPr>
        <w:t> </w:t>
      </w:r>
      <w:r w:rsidRPr="00B94E33">
        <w:rPr>
          <w:rFonts w:ascii="Times New Roman" w:eastAsia="Times New Roman" w:hAnsi="Times New Roman" w:cs="Times New Roman"/>
          <w:i/>
          <w:szCs w:val="24"/>
          <w:lang w:val="fr-FR"/>
        </w:rPr>
        <w:t>Grèce</w:t>
      </w:r>
      <w:r w:rsidRPr="00B94E33">
        <w:rPr>
          <w:rFonts w:ascii="Times New Roman" w:eastAsia="Times New Roman" w:hAnsi="Times New Roman" w:cs="Times New Roman"/>
          <w:szCs w:val="24"/>
          <w:lang w:val="fr-FR"/>
        </w:rPr>
        <w:t xml:space="preserve"> </w:t>
      </w:r>
      <w:r w:rsidR="00F749B7" w:rsidRPr="00B94E33">
        <w:rPr>
          <w:rFonts w:ascii="Times New Roman" w:eastAsia="Times New Roman" w:hAnsi="Times New Roman" w:cs="Times New Roman"/>
          <w:szCs w:val="24"/>
          <w:lang w:val="fr-FR"/>
        </w:rPr>
        <w:t>[GC], n </w:t>
      </w:r>
      <w:r w:rsidRPr="00B94E33">
        <w:rPr>
          <w:rFonts w:ascii="Times New Roman" w:eastAsia="Times New Roman" w:hAnsi="Times New Roman" w:cs="Times New Roman"/>
          <w:szCs w:val="24"/>
          <w:lang w:val="fr-FR"/>
        </w:rPr>
        <w:t xml:space="preserve"> </w:t>
      </w:r>
      <w:hyperlink r:id="rId37" w:anchor="{&quot;appno&quot;:[&quot;50385/99&quot;]}" w:tgtFrame="_blank" w:history="1">
        <w:r w:rsidRPr="00B94E33">
          <w:rPr>
            <w:rFonts w:ascii="Times New Roman" w:eastAsia="Times New Roman" w:hAnsi="Times New Roman" w:cs="Times New Roman"/>
            <w:szCs w:val="24"/>
            <w:lang w:val="fr-FR"/>
          </w:rPr>
          <w:t>50385/99</w:t>
        </w:r>
      </w:hyperlink>
      <w:r w:rsidRPr="00B94E33">
        <w:rPr>
          <w:rFonts w:ascii="Times New Roman" w:eastAsia="Times New Roman" w:hAnsi="Times New Roman" w:cs="Times New Roman"/>
          <w:szCs w:val="24"/>
          <w:lang w:val="fr-FR"/>
        </w:rPr>
        <w:t>, §§ 49-55, CEDH 2004</w:t>
      </w:r>
      <w:r w:rsidRPr="00B94E33">
        <w:rPr>
          <w:rFonts w:ascii="Times New Roman" w:eastAsia="Times New Roman" w:hAnsi="Times New Roman" w:cs="Times New Roman"/>
          <w:szCs w:val="24"/>
          <w:lang w:val="fr-FR"/>
        </w:rPr>
        <w:noBreakHyphen/>
        <w:t>XI). En effet, la première phrase de l</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article 2 § 1 de la Convention astreint l</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État non seulement à s</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abstenir de provoquer la mort de manière volontaire et irrégulière, mais aussi à prendre les mesures nécessaires à la protection de la vie des personnes relevant de sa juridiction (</w:t>
      </w:r>
      <w:r w:rsidRPr="00B94E33">
        <w:rPr>
          <w:rFonts w:ascii="Times New Roman" w:eastAsia="Times New Roman" w:hAnsi="Times New Roman" w:cs="Times New Roman"/>
          <w:i/>
          <w:szCs w:val="24"/>
          <w:lang w:val="fr-FR"/>
        </w:rPr>
        <w:t>L.C.B. c. Royaume-Uni</w:t>
      </w:r>
      <w:r w:rsidRPr="00B94E33">
        <w:rPr>
          <w:rFonts w:ascii="Times New Roman" w:eastAsia="Times New Roman" w:hAnsi="Times New Roman" w:cs="Times New Roman"/>
          <w:szCs w:val="24"/>
          <w:lang w:val="fr-FR"/>
        </w:rPr>
        <w:t>, 9 juin 1998, §</w:t>
      </w:r>
      <w:r w:rsidR="004B08DB" w:rsidRPr="00B94E33">
        <w:rPr>
          <w:rFonts w:ascii="Times New Roman" w:eastAsia="Times New Roman" w:hAnsi="Times New Roman" w:cs="Times New Roman"/>
          <w:szCs w:val="24"/>
          <w:lang w:val="fr-FR"/>
        </w:rPr>
        <w:t> </w:t>
      </w:r>
      <w:r w:rsidRPr="00B94E33">
        <w:rPr>
          <w:rFonts w:ascii="Times New Roman" w:eastAsia="Times New Roman" w:hAnsi="Times New Roman" w:cs="Times New Roman"/>
          <w:szCs w:val="24"/>
          <w:lang w:val="fr-FR"/>
        </w:rPr>
        <w:t>36, Recueil des arrêts et décisions 1998</w:t>
      </w:r>
      <w:r w:rsidRPr="00B94E33">
        <w:rPr>
          <w:rFonts w:ascii="Times New Roman" w:eastAsia="Times New Roman" w:hAnsi="Times New Roman" w:cs="Times New Roman"/>
          <w:szCs w:val="24"/>
          <w:lang w:val="fr-FR"/>
        </w:rPr>
        <w:noBreakHyphen/>
        <w:t>III).</w:t>
      </w:r>
    </w:p>
    <w:p w:rsidR="008145BF" w:rsidRPr="00B94E33" w:rsidRDefault="008145BF" w:rsidP="00B94E33">
      <w:pPr>
        <w:pStyle w:val="ECHRPara"/>
        <w:rPr>
          <w:rFonts w:ascii="Times New Roman" w:eastAsia="Times New Roman" w:hAnsi="Times New Roman" w:cs="Times New Roman"/>
          <w:szCs w:val="24"/>
          <w:lang w:val="fr-FR"/>
        </w:rPr>
      </w:pPr>
      <w:r w:rsidRPr="00B94E33">
        <w:rPr>
          <w:rFonts w:ascii="Times New Roman" w:eastAsia="Times New Roman" w:hAnsi="Times New Roman" w:cs="Times New Roman"/>
          <w:szCs w:val="24"/>
          <w:lang w:val="fr-FR"/>
        </w:rPr>
        <w:fldChar w:fldCharType="begin"/>
      </w:r>
      <w:r w:rsidRPr="00B94E33">
        <w:rPr>
          <w:rFonts w:ascii="Times New Roman" w:eastAsia="Times New Roman" w:hAnsi="Times New Roman" w:cs="Times New Roman"/>
          <w:szCs w:val="24"/>
          <w:lang w:val="fr-FR"/>
        </w:rPr>
        <w:instrText xml:space="preserve"> SEQ level0 \*arabic </w:instrText>
      </w:r>
      <w:r w:rsidRPr="00B94E33">
        <w:rPr>
          <w:rFonts w:ascii="Times New Roman" w:eastAsia="Times New Roman" w:hAnsi="Times New Roman" w:cs="Times New Roman"/>
          <w:szCs w:val="24"/>
          <w:lang w:val="fr-FR"/>
        </w:rPr>
        <w:fldChar w:fldCharType="separate"/>
      </w:r>
      <w:r w:rsidR="00B94E33" w:rsidRPr="00B94E33">
        <w:rPr>
          <w:rFonts w:ascii="Times New Roman" w:eastAsia="Times New Roman" w:hAnsi="Times New Roman" w:cs="Times New Roman"/>
          <w:noProof/>
          <w:szCs w:val="24"/>
          <w:lang w:val="fr-FR"/>
        </w:rPr>
        <w:t>109</w:t>
      </w:r>
      <w:r w:rsidRPr="00B94E33">
        <w:rPr>
          <w:rFonts w:ascii="Times New Roman" w:eastAsia="Times New Roman" w:hAnsi="Times New Roman" w:cs="Times New Roman"/>
          <w:szCs w:val="24"/>
          <w:lang w:val="fr-FR"/>
        </w:rPr>
        <w:fldChar w:fldCharType="end"/>
      </w:r>
      <w:r w:rsidRPr="00B94E33">
        <w:rPr>
          <w:rFonts w:ascii="Times New Roman" w:eastAsia="Times New Roman" w:hAnsi="Times New Roman" w:cs="Times New Roman"/>
          <w:szCs w:val="24"/>
          <w:lang w:val="fr-FR"/>
        </w:rPr>
        <w:t>.  Il est aussi nécessaire de garder à l</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esprit que, lorsqu</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il s</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agit des obligations positives de l</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État quant à la protection du droit à la vie, il peut s</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agir tant du recours à la force meurtrière par les forces de l</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ordre, et tant d</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 xml:space="preserve">un manquement des autorités à prendre des mesures de protection pour parer un danger éventuel provenant des tierces personnes (voir, par exemple, </w:t>
      </w:r>
      <w:r w:rsidRPr="00B94E33">
        <w:rPr>
          <w:rFonts w:ascii="Times New Roman" w:eastAsia="Times New Roman" w:hAnsi="Times New Roman" w:cs="Times New Roman"/>
          <w:i/>
          <w:szCs w:val="24"/>
          <w:lang w:val="fr-FR"/>
        </w:rPr>
        <w:t>Osman c Royaume</w:t>
      </w:r>
      <w:r w:rsidRPr="00B94E33">
        <w:rPr>
          <w:rFonts w:ascii="Times New Roman" w:eastAsia="Times New Roman" w:hAnsi="Times New Roman" w:cs="Times New Roman"/>
          <w:i/>
          <w:szCs w:val="24"/>
          <w:lang w:val="fr-FR"/>
        </w:rPr>
        <w:noBreakHyphen/>
        <w:t>Uni</w:t>
      </w:r>
      <w:r w:rsidRPr="00B94E33">
        <w:rPr>
          <w:rFonts w:ascii="Times New Roman" w:eastAsia="Times New Roman" w:hAnsi="Times New Roman" w:cs="Times New Roman"/>
          <w:szCs w:val="24"/>
          <w:lang w:val="fr-FR"/>
        </w:rPr>
        <w:t>, 28 octobre 1998, §§ 115-122, Recueil 1998</w:t>
      </w:r>
      <w:r w:rsidRPr="00B94E33">
        <w:rPr>
          <w:rFonts w:ascii="Times New Roman" w:eastAsia="Times New Roman" w:hAnsi="Times New Roman" w:cs="Times New Roman"/>
          <w:szCs w:val="24"/>
          <w:lang w:val="fr-FR"/>
        </w:rPr>
        <w:noBreakHyphen/>
        <w:t>VIII).</w:t>
      </w:r>
    </w:p>
    <w:p w:rsidR="008145BF" w:rsidRPr="00B94E33" w:rsidRDefault="008145BF" w:rsidP="00B94E33">
      <w:pPr>
        <w:pStyle w:val="ECHRPara"/>
        <w:rPr>
          <w:rFonts w:ascii="Times New Roman" w:eastAsia="Times New Roman" w:hAnsi="Times New Roman" w:cs="Times New Roman"/>
          <w:szCs w:val="24"/>
          <w:lang w:val="fr-FR"/>
        </w:rPr>
      </w:pPr>
      <w:r w:rsidRPr="00B94E33">
        <w:rPr>
          <w:rFonts w:ascii="Times New Roman" w:eastAsia="Times New Roman" w:hAnsi="Times New Roman" w:cs="Times New Roman"/>
          <w:szCs w:val="24"/>
          <w:lang w:val="fr-FR"/>
        </w:rPr>
        <w:fldChar w:fldCharType="begin"/>
      </w:r>
      <w:r w:rsidRPr="00B94E33">
        <w:rPr>
          <w:rFonts w:ascii="Times New Roman" w:eastAsia="Times New Roman" w:hAnsi="Times New Roman" w:cs="Times New Roman"/>
          <w:szCs w:val="24"/>
          <w:lang w:val="fr-FR"/>
        </w:rPr>
        <w:instrText xml:space="preserve"> SEQ level0 \*arabic </w:instrText>
      </w:r>
      <w:r w:rsidRPr="00B94E33">
        <w:rPr>
          <w:rFonts w:ascii="Times New Roman" w:eastAsia="Times New Roman" w:hAnsi="Times New Roman" w:cs="Times New Roman"/>
          <w:szCs w:val="24"/>
          <w:lang w:val="fr-FR"/>
        </w:rPr>
        <w:fldChar w:fldCharType="separate"/>
      </w:r>
      <w:r w:rsidR="00B94E33" w:rsidRPr="00B94E33">
        <w:rPr>
          <w:rFonts w:ascii="Times New Roman" w:eastAsia="Times New Roman" w:hAnsi="Times New Roman" w:cs="Times New Roman"/>
          <w:noProof/>
          <w:szCs w:val="24"/>
          <w:lang w:val="fr-FR"/>
        </w:rPr>
        <w:t>110</w:t>
      </w:r>
      <w:r w:rsidRPr="00B94E33">
        <w:rPr>
          <w:rFonts w:ascii="Times New Roman" w:eastAsia="Times New Roman" w:hAnsi="Times New Roman" w:cs="Times New Roman"/>
          <w:szCs w:val="24"/>
          <w:lang w:val="fr-FR"/>
        </w:rPr>
        <w:fldChar w:fldCharType="end"/>
      </w:r>
      <w:r w:rsidRPr="00B94E33">
        <w:rPr>
          <w:rFonts w:ascii="Times New Roman" w:eastAsia="Times New Roman" w:hAnsi="Times New Roman" w:cs="Times New Roman"/>
          <w:szCs w:val="24"/>
          <w:lang w:val="fr-FR"/>
        </w:rPr>
        <w:t>.  La Cour considère que la requérante a été victime d</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un agissement qui, par sa nature, a mis sa vie en danger, même s</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 xml:space="preserve">elle a finalement survécu à ses blessures (voir </w:t>
      </w:r>
      <w:r w:rsidRPr="00B94E33">
        <w:rPr>
          <w:rFonts w:ascii="Times New Roman" w:eastAsia="Times New Roman" w:hAnsi="Times New Roman" w:cs="Times New Roman"/>
          <w:i/>
          <w:szCs w:val="24"/>
          <w:lang w:val="fr-FR"/>
        </w:rPr>
        <w:t>Camekan c. Turquie</w:t>
      </w:r>
      <w:r w:rsidRPr="00B94E33">
        <w:rPr>
          <w:rFonts w:ascii="Times New Roman" w:eastAsia="Times New Roman" w:hAnsi="Times New Roman" w:cs="Times New Roman"/>
          <w:szCs w:val="24"/>
          <w:lang w:val="fr-FR"/>
        </w:rPr>
        <w:t xml:space="preserve">, </w:t>
      </w:r>
      <w:r w:rsidR="00E85EF2" w:rsidRPr="00B94E33">
        <w:rPr>
          <w:rFonts w:ascii="Times New Roman" w:eastAsia="Times New Roman" w:hAnsi="Times New Roman" w:cs="Times New Roman"/>
          <w:szCs w:val="24"/>
          <w:lang w:val="fr-FR"/>
        </w:rPr>
        <w:t>n </w:t>
      </w:r>
      <w:r w:rsidRPr="00B94E33">
        <w:rPr>
          <w:rFonts w:ascii="Times New Roman" w:eastAsia="Times New Roman" w:hAnsi="Times New Roman" w:cs="Times New Roman"/>
          <w:szCs w:val="24"/>
          <w:lang w:val="fr-FR"/>
        </w:rPr>
        <w:t xml:space="preserve"> </w:t>
      </w:r>
      <w:hyperlink r:id="rId38" w:anchor="{&quot;appno&quot;:[&quot;54241/08&quot;]}" w:tgtFrame="_blank" w:history="1">
        <w:r w:rsidRPr="00B94E33">
          <w:rPr>
            <w:rFonts w:ascii="Times New Roman" w:eastAsia="Times New Roman" w:hAnsi="Times New Roman" w:cs="Times New Roman"/>
            <w:szCs w:val="24"/>
            <w:lang w:val="fr-FR"/>
          </w:rPr>
          <w:t>54241/08</w:t>
        </w:r>
      </w:hyperlink>
      <w:r w:rsidRPr="00B94E33">
        <w:rPr>
          <w:rFonts w:ascii="Times New Roman" w:eastAsia="Times New Roman" w:hAnsi="Times New Roman" w:cs="Times New Roman"/>
          <w:szCs w:val="24"/>
          <w:lang w:val="fr-FR"/>
        </w:rPr>
        <w:t xml:space="preserve">, § 38, 28 janvier 2014). </w:t>
      </w:r>
      <w:r w:rsidR="0056713F" w:rsidRPr="00B94E33">
        <w:rPr>
          <w:rFonts w:ascii="Times New Roman" w:eastAsia="Times New Roman" w:hAnsi="Times New Roman" w:cs="Times New Roman"/>
          <w:szCs w:val="24"/>
          <w:lang w:val="fr-FR"/>
        </w:rPr>
        <w:t>L</w:t>
      </w:r>
      <w:r w:rsidR="00B94E33" w:rsidRPr="00B94E33">
        <w:rPr>
          <w:rFonts w:ascii="Times New Roman" w:eastAsia="Times New Roman" w:hAnsi="Times New Roman" w:cs="Times New Roman"/>
          <w:szCs w:val="24"/>
          <w:lang w:val="fr-FR"/>
        </w:rPr>
        <w:t>’</w:t>
      </w:r>
      <w:r w:rsidR="0056713F" w:rsidRPr="00B94E33">
        <w:rPr>
          <w:rFonts w:ascii="Times New Roman" w:eastAsia="Times New Roman" w:hAnsi="Times New Roman" w:cs="Times New Roman"/>
          <w:szCs w:val="24"/>
          <w:lang w:val="fr-FR"/>
        </w:rPr>
        <w:t>article 2 de la Convention s</w:t>
      </w:r>
      <w:r w:rsidR="00B94E33" w:rsidRPr="00B94E33">
        <w:rPr>
          <w:rFonts w:ascii="Times New Roman" w:eastAsia="Times New Roman" w:hAnsi="Times New Roman" w:cs="Times New Roman"/>
          <w:szCs w:val="24"/>
          <w:lang w:val="fr-FR"/>
        </w:rPr>
        <w:t>’</w:t>
      </w:r>
      <w:r w:rsidR="0056713F" w:rsidRPr="00B94E33">
        <w:rPr>
          <w:rFonts w:ascii="Times New Roman" w:eastAsia="Times New Roman" w:hAnsi="Times New Roman" w:cs="Times New Roman"/>
          <w:szCs w:val="24"/>
          <w:lang w:val="fr-FR"/>
        </w:rPr>
        <w:t>applique donc en l</w:t>
      </w:r>
      <w:r w:rsidR="00B94E33" w:rsidRPr="00B94E33">
        <w:rPr>
          <w:rFonts w:ascii="Times New Roman" w:eastAsia="Times New Roman" w:hAnsi="Times New Roman" w:cs="Times New Roman"/>
          <w:szCs w:val="24"/>
          <w:lang w:val="fr-FR"/>
        </w:rPr>
        <w:t>’</w:t>
      </w:r>
      <w:r w:rsidR="0056713F" w:rsidRPr="00B94E33">
        <w:rPr>
          <w:rFonts w:ascii="Times New Roman" w:eastAsia="Times New Roman" w:hAnsi="Times New Roman" w:cs="Times New Roman"/>
          <w:szCs w:val="24"/>
          <w:lang w:val="fr-FR"/>
        </w:rPr>
        <w:t>espèce dans le chef de la requérante elle-même également</w:t>
      </w:r>
      <w:r w:rsidRPr="00B94E33">
        <w:rPr>
          <w:rFonts w:ascii="Times New Roman" w:eastAsia="Times New Roman" w:hAnsi="Times New Roman" w:cs="Times New Roman"/>
          <w:szCs w:val="24"/>
          <w:lang w:val="fr-FR"/>
        </w:rPr>
        <w:t>.</w:t>
      </w:r>
    </w:p>
    <w:p w:rsidR="009149F5" w:rsidRPr="00B94E33" w:rsidRDefault="00287440"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111</w:t>
      </w:r>
      <w:r w:rsidRPr="00B94E33">
        <w:rPr>
          <w:lang w:val="fr-FR"/>
        </w:rPr>
        <w:fldChar w:fldCharType="end"/>
      </w:r>
      <w:r w:rsidRPr="00B94E33">
        <w:rPr>
          <w:lang w:val="fr-FR"/>
        </w:rPr>
        <w:t>.  </w:t>
      </w:r>
      <w:r w:rsidR="008145BF" w:rsidRPr="00B94E33">
        <w:rPr>
          <w:lang w:val="fr-FR"/>
        </w:rPr>
        <w:t>Se tournant vers les circonstances de l</w:t>
      </w:r>
      <w:r w:rsidR="00B94E33" w:rsidRPr="00B94E33">
        <w:rPr>
          <w:lang w:val="fr-FR"/>
        </w:rPr>
        <w:t>’</w:t>
      </w:r>
      <w:r w:rsidR="008145BF" w:rsidRPr="00B94E33">
        <w:rPr>
          <w:lang w:val="fr-FR"/>
        </w:rPr>
        <w:t>espèce</w:t>
      </w:r>
      <w:r w:rsidR="00A41911" w:rsidRPr="00B94E33">
        <w:rPr>
          <w:lang w:val="fr-FR"/>
        </w:rPr>
        <w:t>, la Cour relève que</w:t>
      </w:r>
      <w:r w:rsidR="006B6680" w:rsidRPr="00B94E33">
        <w:rPr>
          <w:lang w:val="fr-FR"/>
        </w:rPr>
        <w:t>,</w:t>
      </w:r>
      <w:r w:rsidR="00A41911" w:rsidRPr="00B94E33">
        <w:rPr>
          <w:lang w:val="fr-FR"/>
        </w:rPr>
        <w:t xml:space="preserve"> </w:t>
      </w:r>
      <w:r w:rsidR="00982D9E" w:rsidRPr="00B94E33">
        <w:rPr>
          <w:lang w:val="fr-FR"/>
        </w:rPr>
        <w:t xml:space="preserve">à la suite des </w:t>
      </w:r>
      <w:r w:rsidR="000054F8" w:rsidRPr="00B94E33">
        <w:rPr>
          <w:lang w:val="fr-FR"/>
        </w:rPr>
        <w:t xml:space="preserve">violences </w:t>
      </w:r>
      <w:r w:rsidR="00982D9E" w:rsidRPr="00B94E33">
        <w:rPr>
          <w:lang w:val="fr-FR"/>
        </w:rPr>
        <w:t>dont elle avait fait l</w:t>
      </w:r>
      <w:r w:rsidR="00B94E33" w:rsidRPr="00B94E33">
        <w:rPr>
          <w:lang w:val="fr-FR"/>
        </w:rPr>
        <w:t>’</w:t>
      </w:r>
      <w:r w:rsidR="00982D9E" w:rsidRPr="00B94E33">
        <w:rPr>
          <w:lang w:val="fr-FR"/>
        </w:rPr>
        <w:t xml:space="preserve">objet lors des mois </w:t>
      </w:r>
      <w:r w:rsidR="000054F8" w:rsidRPr="00B94E33">
        <w:rPr>
          <w:lang w:val="fr-FR"/>
        </w:rPr>
        <w:t>de juin et ao</w:t>
      </w:r>
      <w:r w:rsidR="00982D9E" w:rsidRPr="00B94E33">
        <w:rPr>
          <w:lang w:val="fr-FR"/>
        </w:rPr>
        <w:t>û</w:t>
      </w:r>
      <w:r w:rsidR="000054F8" w:rsidRPr="00B94E33">
        <w:rPr>
          <w:lang w:val="fr-FR"/>
        </w:rPr>
        <w:t>t 2012</w:t>
      </w:r>
      <w:r w:rsidR="000054F8" w:rsidRPr="00B94E33">
        <w:rPr>
          <w:b/>
          <w:lang w:val="fr-FR"/>
        </w:rPr>
        <w:t xml:space="preserve">, </w:t>
      </w:r>
      <w:r w:rsidR="00A41911" w:rsidRPr="00B94E33">
        <w:rPr>
          <w:lang w:val="fr-FR"/>
        </w:rPr>
        <w:t xml:space="preserve">la requérante </w:t>
      </w:r>
      <w:r w:rsidR="002A3E50" w:rsidRPr="00B94E33">
        <w:rPr>
          <w:lang w:val="fr-FR"/>
        </w:rPr>
        <w:t>a déposé</w:t>
      </w:r>
      <w:r w:rsidR="00982D9E" w:rsidRPr="00B94E33">
        <w:rPr>
          <w:lang w:val="fr-FR"/>
        </w:rPr>
        <w:t>,</w:t>
      </w:r>
      <w:r w:rsidR="002A3E50" w:rsidRPr="00B94E33">
        <w:rPr>
          <w:lang w:val="fr-FR"/>
        </w:rPr>
        <w:t xml:space="preserve"> </w:t>
      </w:r>
      <w:r w:rsidR="00982D9E" w:rsidRPr="00B94E33">
        <w:rPr>
          <w:lang w:val="fr-FR"/>
        </w:rPr>
        <w:t xml:space="preserve">le 5 septembre 2012, </w:t>
      </w:r>
      <w:r w:rsidR="005B065B" w:rsidRPr="00B94E33">
        <w:rPr>
          <w:lang w:val="fr-FR"/>
        </w:rPr>
        <w:t xml:space="preserve">une </w:t>
      </w:r>
      <w:r w:rsidR="00A41911" w:rsidRPr="00B94E33">
        <w:rPr>
          <w:lang w:val="fr-FR"/>
        </w:rPr>
        <w:t>plainte</w:t>
      </w:r>
      <w:r w:rsidR="005B065B" w:rsidRPr="00B94E33">
        <w:rPr>
          <w:lang w:val="fr-FR"/>
        </w:rPr>
        <w:t xml:space="preserve"> </w:t>
      </w:r>
      <w:r w:rsidR="00971497" w:rsidRPr="00B94E33">
        <w:rPr>
          <w:lang w:val="fr-FR"/>
        </w:rPr>
        <w:t>pénale</w:t>
      </w:r>
      <w:r w:rsidR="00A41911" w:rsidRPr="00B94E33">
        <w:rPr>
          <w:lang w:val="fr-FR"/>
        </w:rPr>
        <w:t xml:space="preserve"> </w:t>
      </w:r>
      <w:r w:rsidR="00982D9E" w:rsidRPr="00B94E33">
        <w:rPr>
          <w:lang w:val="fr-FR"/>
        </w:rPr>
        <w:t xml:space="preserve">dénonçant </w:t>
      </w:r>
      <w:r w:rsidR="00A41911" w:rsidRPr="00B94E33">
        <w:rPr>
          <w:lang w:val="fr-FR"/>
        </w:rPr>
        <w:t xml:space="preserve">les violences infligées par </w:t>
      </w:r>
      <w:r w:rsidR="006B6680" w:rsidRPr="00B94E33">
        <w:rPr>
          <w:rFonts w:ascii="Times New Roman" w:eastAsia="Times New Roman" w:hAnsi="Times New Roman" w:cs="Times New Roman"/>
          <w:szCs w:val="24"/>
          <w:lang w:val="fr-FR"/>
        </w:rPr>
        <w:t xml:space="preserve">A.T. </w:t>
      </w:r>
      <w:r w:rsidR="006B6680" w:rsidRPr="00B94E33">
        <w:rPr>
          <w:lang w:val="fr-FR"/>
        </w:rPr>
        <w:t xml:space="preserve">(paragraphe </w:t>
      </w:r>
      <w:r w:rsidR="006B6680" w:rsidRPr="00B94E33">
        <w:rPr>
          <w:lang w:val="fr-FR"/>
        </w:rPr>
        <w:fldChar w:fldCharType="begin"/>
      </w:r>
      <w:r w:rsidR="006B6680" w:rsidRPr="00B94E33">
        <w:rPr>
          <w:lang w:val="fr-FR"/>
        </w:rPr>
        <w:instrText xml:space="preserve"> REF para24 \h  \* MERGEFORMAT </w:instrText>
      </w:r>
      <w:r w:rsidR="006B6680" w:rsidRPr="00B94E33">
        <w:rPr>
          <w:lang w:val="fr-FR"/>
        </w:rPr>
      </w:r>
      <w:r w:rsidR="006B6680" w:rsidRPr="00B94E33">
        <w:rPr>
          <w:lang w:val="fr-FR"/>
        </w:rPr>
        <w:fldChar w:fldCharType="separate"/>
      </w:r>
      <w:r w:rsidR="00B94E33" w:rsidRPr="00B94E33">
        <w:rPr>
          <w:noProof/>
          <w:lang w:val="fr-FR"/>
        </w:rPr>
        <w:t>21</w:t>
      </w:r>
      <w:r w:rsidR="006B6680" w:rsidRPr="00B94E33">
        <w:rPr>
          <w:lang w:val="fr-FR"/>
        </w:rPr>
        <w:fldChar w:fldCharType="end"/>
      </w:r>
      <w:r w:rsidR="006B6680" w:rsidRPr="00B94E33">
        <w:rPr>
          <w:lang w:val="fr-FR"/>
        </w:rPr>
        <w:t xml:space="preserve"> ci-dessus). </w:t>
      </w:r>
      <w:r w:rsidR="007D4E39" w:rsidRPr="00B94E33">
        <w:rPr>
          <w:rFonts w:ascii="Times New Roman" w:eastAsia="Times New Roman" w:hAnsi="Times New Roman" w:cs="Times New Roman"/>
          <w:szCs w:val="24"/>
          <w:lang w:val="fr-FR"/>
        </w:rPr>
        <w:t>Elle observe que la requérante a joint à sa plainte un rapport médical établi après l</w:t>
      </w:r>
      <w:r w:rsidR="00B94E33" w:rsidRPr="00B94E33">
        <w:rPr>
          <w:rFonts w:ascii="Times New Roman" w:eastAsia="Times New Roman" w:hAnsi="Times New Roman" w:cs="Times New Roman"/>
          <w:szCs w:val="24"/>
          <w:lang w:val="fr-FR"/>
        </w:rPr>
        <w:t>’</w:t>
      </w:r>
      <w:r w:rsidR="007D4E39" w:rsidRPr="00B94E33">
        <w:rPr>
          <w:rFonts w:ascii="Times New Roman" w:eastAsia="Times New Roman" w:hAnsi="Times New Roman" w:cs="Times New Roman"/>
          <w:szCs w:val="24"/>
          <w:lang w:val="fr-FR"/>
        </w:rPr>
        <w:t xml:space="preserve">agression et décrivant les blessures physiques visibles sur son corps (paragraphe </w:t>
      </w:r>
      <w:r w:rsidR="007D4E39" w:rsidRPr="00B94E33">
        <w:rPr>
          <w:rFonts w:ascii="Times New Roman" w:eastAsia="Times New Roman" w:hAnsi="Times New Roman" w:cs="Times New Roman"/>
          <w:szCs w:val="24"/>
          <w:lang w:val="fr-FR"/>
        </w:rPr>
        <w:fldChar w:fldCharType="begin"/>
      </w:r>
      <w:r w:rsidR="007D4E39" w:rsidRPr="00B94E33">
        <w:rPr>
          <w:rFonts w:ascii="Times New Roman" w:eastAsia="Times New Roman" w:hAnsi="Times New Roman" w:cs="Times New Roman"/>
          <w:szCs w:val="24"/>
          <w:lang w:val="fr-FR"/>
        </w:rPr>
        <w:instrText xml:space="preserve"> REF para19 \h  \* MERGEFORMAT </w:instrText>
      </w:r>
      <w:r w:rsidR="007D4E39" w:rsidRPr="00B94E33">
        <w:rPr>
          <w:rFonts w:ascii="Times New Roman" w:eastAsia="Times New Roman" w:hAnsi="Times New Roman" w:cs="Times New Roman"/>
          <w:szCs w:val="24"/>
          <w:lang w:val="fr-FR"/>
        </w:rPr>
      </w:r>
      <w:r w:rsidR="007D4E39" w:rsidRPr="00B94E33">
        <w:rPr>
          <w:rFonts w:ascii="Times New Roman" w:eastAsia="Times New Roman" w:hAnsi="Times New Roman" w:cs="Times New Roman"/>
          <w:szCs w:val="24"/>
          <w:lang w:val="fr-FR"/>
        </w:rPr>
        <w:fldChar w:fldCharType="separate"/>
      </w:r>
      <w:r w:rsidR="00B94E33" w:rsidRPr="00B94E33">
        <w:rPr>
          <w:noProof/>
          <w:lang w:val="fr-FR"/>
        </w:rPr>
        <w:t>16</w:t>
      </w:r>
      <w:r w:rsidR="007D4E39" w:rsidRPr="00B94E33">
        <w:rPr>
          <w:rFonts w:ascii="Times New Roman" w:eastAsia="Times New Roman" w:hAnsi="Times New Roman" w:cs="Times New Roman"/>
          <w:szCs w:val="24"/>
          <w:lang w:val="fr-FR"/>
        </w:rPr>
        <w:fldChar w:fldCharType="end"/>
      </w:r>
      <w:r w:rsidR="007D4E39" w:rsidRPr="00B94E33">
        <w:rPr>
          <w:rFonts w:ascii="Times New Roman" w:eastAsia="Times New Roman" w:hAnsi="Times New Roman" w:cs="Times New Roman"/>
          <w:szCs w:val="24"/>
          <w:lang w:val="fr-FR"/>
        </w:rPr>
        <w:t xml:space="preserve"> ci-dessus). </w:t>
      </w:r>
      <w:r w:rsidR="00A41911" w:rsidRPr="00B94E33">
        <w:rPr>
          <w:lang w:val="fr-FR"/>
        </w:rPr>
        <w:t xml:space="preserve">À cette occasion, </w:t>
      </w:r>
      <w:r w:rsidR="0032481C" w:rsidRPr="00B94E33">
        <w:rPr>
          <w:lang w:val="fr-FR"/>
        </w:rPr>
        <w:t>l</w:t>
      </w:r>
      <w:r w:rsidR="00B94E33" w:rsidRPr="00B94E33">
        <w:rPr>
          <w:lang w:val="fr-FR"/>
        </w:rPr>
        <w:t>’</w:t>
      </w:r>
      <w:r w:rsidR="0032481C" w:rsidRPr="00B94E33">
        <w:rPr>
          <w:lang w:val="fr-FR"/>
        </w:rPr>
        <w:t xml:space="preserve">intéressée </w:t>
      </w:r>
      <w:r w:rsidR="002A3E50" w:rsidRPr="00B94E33">
        <w:rPr>
          <w:lang w:val="fr-FR"/>
        </w:rPr>
        <w:t xml:space="preserve">a fait </w:t>
      </w:r>
      <w:r w:rsidR="00A41911" w:rsidRPr="00B94E33">
        <w:rPr>
          <w:lang w:val="fr-FR"/>
        </w:rPr>
        <w:t>part des craintes qu</w:t>
      </w:r>
      <w:r w:rsidR="00B94E33" w:rsidRPr="00B94E33">
        <w:rPr>
          <w:lang w:val="fr-FR"/>
        </w:rPr>
        <w:t>’</w:t>
      </w:r>
      <w:r w:rsidR="00A41911" w:rsidRPr="00B94E33">
        <w:rPr>
          <w:lang w:val="fr-FR"/>
        </w:rPr>
        <w:t>elle éprouvait pour sa vie</w:t>
      </w:r>
      <w:r w:rsidR="005B065B" w:rsidRPr="00B94E33">
        <w:rPr>
          <w:lang w:val="fr-FR"/>
        </w:rPr>
        <w:t xml:space="preserve"> et celle de sa fille</w:t>
      </w:r>
      <w:r w:rsidR="002A3E50" w:rsidRPr="00B94E33">
        <w:rPr>
          <w:lang w:val="fr-FR"/>
        </w:rPr>
        <w:t xml:space="preserve"> et </w:t>
      </w:r>
      <w:r w:rsidR="000B2DD5" w:rsidRPr="00B94E33">
        <w:rPr>
          <w:lang w:val="fr-FR"/>
        </w:rPr>
        <w:t xml:space="preserve">elle </w:t>
      </w:r>
      <w:r w:rsidR="002A3E50" w:rsidRPr="00B94E33">
        <w:rPr>
          <w:lang w:val="fr-FR"/>
        </w:rPr>
        <w:t>a demandé</w:t>
      </w:r>
      <w:r w:rsidR="005B065B" w:rsidRPr="00B94E33">
        <w:rPr>
          <w:lang w:val="fr-FR"/>
        </w:rPr>
        <w:t xml:space="preserve"> </w:t>
      </w:r>
      <w:r w:rsidR="002A3E50" w:rsidRPr="00B94E33">
        <w:rPr>
          <w:lang w:val="fr-FR"/>
        </w:rPr>
        <w:t xml:space="preserve">à </w:t>
      </w:r>
      <w:r w:rsidR="002A3E50" w:rsidRPr="00B94E33">
        <w:rPr>
          <w:lang w:val="fr-FR"/>
        </w:rPr>
        <w:lastRenderedPageBreak/>
        <w:t>bénéficier de</w:t>
      </w:r>
      <w:r w:rsidR="005B065B" w:rsidRPr="00B94E33">
        <w:rPr>
          <w:lang w:val="fr-FR"/>
        </w:rPr>
        <w:t xml:space="preserve"> mesures de protection</w:t>
      </w:r>
      <w:r w:rsidR="00A41911" w:rsidRPr="00B94E33">
        <w:rPr>
          <w:lang w:val="fr-FR"/>
        </w:rPr>
        <w:t>.</w:t>
      </w:r>
      <w:r w:rsidR="009149F5" w:rsidRPr="00B94E33">
        <w:rPr>
          <w:lang w:val="fr-FR"/>
        </w:rPr>
        <w:t xml:space="preserve"> </w:t>
      </w:r>
      <w:r w:rsidR="00A41911" w:rsidRPr="00B94E33">
        <w:rPr>
          <w:lang w:val="fr-FR"/>
        </w:rPr>
        <w:t>Il convient dès lors d</w:t>
      </w:r>
      <w:r w:rsidR="00B94E33" w:rsidRPr="00B94E33">
        <w:rPr>
          <w:lang w:val="fr-FR"/>
        </w:rPr>
        <w:t>’</w:t>
      </w:r>
      <w:r w:rsidR="00A41911" w:rsidRPr="00B94E33">
        <w:rPr>
          <w:lang w:val="fr-FR"/>
        </w:rPr>
        <w:t>apprécier le comportement des autorités i</w:t>
      </w:r>
      <w:r w:rsidR="009149F5" w:rsidRPr="00B94E33">
        <w:rPr>
          <w:lang w:val="fr-FR"/>
        </w:rPr>
        <w:t>nternes à compter de cette date</w:t>
      </w:r>
      <w:r w:rsidR="00EB726B" w:rsidRPr="00B94E33">
        <w:rPr>
          <w:lang w:val="fr-FR"/>
        </w:rPr>
        <w:t>.</w:t>
      </w:r>
    </w:p>
    <w:p w:rsidR="009149F5" w:rsidRPr="00B94E33" w:rsidRDefault="009149F5"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112</w:t>
      </w:r>
      <w:r w:rsidRPr="00B94E33">
        <w:rPr>
          <w:lang w:val="fr-FR"/>
        </w:rPr>
        <w:fldChar w:fldCharType="end"/>
      </w:r>
      <w:r w:rsidRPr="00B94E33">
        <w:rPr>
          <w:lang w:val="fr-FR"/>
        </w:rPr>
        <w:t>.  </w:t>
      </w:r>
      <w:r w:rsidR="0032481C" w:rsidRPr="00B94E33">
        <w:rPr>
          <w:lang w:val="fr-FR"/>
        </w:rPr>
        <w:t>La Cour relève qu</w:t>
      </w:r>
      <w:r w:rsidR="00B94E33" w:rsidRPr="00B94E33">
        <w:rPr>
          <w:lang w:val="fr-FR"/>
        </w:rPr>
        <w:t>’</w:t>
      </w:r>
      <w:r w:rsidR="0032481C" w:rsidRPr="00B94E33">
        <w:rPr>
          <w:lang w:val="fr-FR"/>
        </w:rPr>
        <w:t>u</w:t>
      </w:r>
      <w:r w:rsidRPr="00B94E33">
        <w:rPr>
          <w:lang w:val="fr-FR"/>
        </w:rPr>
        <w:t xml:space="preserve">ne information judiciaire </w:t>
      </w:r>
      <w:r w:rsidR="002A3E50" w:rsidRPr="00B94E33">
        <w:rPr>
          <w:lang w:val="fr-FR"/>
        </w:rPr>
        <w:t xml:space="preserve">a été </w:t>
      </w:r>
      <w:r w:rsidRPr="00B94E33">
        <w:rPr>
          <w:lang w:val="fr-FR"/>
        </w:rPr>
        <w:t>ouverte à l</w:t>
      </w:r>
      <w:r w:rsidR="00B94E33" w:rsidRPr="00B94E33">
        <w:rPr>
          <w:lang w:val="fr-FR"/>
        </w:rPr>
        <w:t>’</w:t>
      </w:r>
      <w:r w:rsidRPr="00B94E33">
        <w:rPr>
          <w:lang w:val="fr-FR"/>
        </w:rPr>
        <w:t xml:space="preserve">encontre de A.T. pour </w:t>
      </w:r>
      <w:r w:rsidR="002A3E50" w:rsidRPr="00B94E33">
        <w:rPr>
          <w:lang w:val="fr-FR"/>
        </w:rPr>
        <w:t>d</w:t>
      </w:r>
      <w:r w:rsidRPr="00B94E33">
        <w:rPr>
          <w:lang w:val="fr-FR"/>
        </w:rPr>
        <w:t>es dé</w:t>
      </w:r>
      <w:r w:rsidR="00EB726B" w:rsidRPr="00B94E33">
        <w:rPr>
          <w:lang w:val="fr-FR"/>
        </w:rPr>
        <w:t xml:space="preserve">lits de maltraitance </w:t>
      </w:r>
      <w:r w:rsidR="00D23996" w:rsidRPr="00B94E33">
        <w:rPr>
          <w:lang w:val="fr-FR"/>
        </w:rPr>
        <w:t>familiale</w:t>
      </w:r>
      <w:r w:rsidR="00EB726B" w:rsidRPr="00B94E33">
        <w:rPr>
          <w:lang w:val="fr-FR"/>
        </w:rPr>
        <w:t xml:space="preserve">, </w:t>
      </w:r>
      <w:r w:rsidR="00C5643E" w:rsidRPr="00B94E33">
        <w:rPr>
          <w:lang w:val="fr-FR"/>
        </w:rPr>
        <w:t>lésions corporelles</w:t>
      </w:r>
      <w:r w:rsidR="002A3E50" w:rsidRPr="00B94E33">
        <w:rPr>
          <w:lang w:val="fr-FR"/>
        </w:rPr>
        <w:t xml:space="preserve"> </w:t>
      </w:r>
      <w:r w:rsidR="00EB726B" w:rsidRPr="00B94E33">
        <w:rPr>
          <w:lang w:val="fr-FR"/>
        </w:rPr>
        <w:t>et menace</w:t>
      </w:r>
      <w:r w:rsidR="002A3E50" w:rsidRPr="00B94E33">
        <w:rPr>
          <w:lang w:val="fr-FR"/>
        </w:rPr>
        <w:t>s</w:t>
      </w:r>
      <w:r w:rsidRPr="00B94E33">
        <w:rPr>
          <w:lang w:val="fr-FR"/>
        </w:rPr>
        <w:t xml:space="preserve">. La police </w:t>
      </w:r>
      <w:r w:rsidR="002A3E50" w:rsidRPr="00B94E33">
        <w:rPr>
          <w:lang w:val="fr-FR"/>
        </w:rPr>
        <w:t xml:space="preserve">a transmis </w:t>
      </w:r>
      <w:r w:rsidRPr="00B94E33">
        <w:rPr>
          <w:lang w:val="fr-FR"/>
        </w:rPr>
        <w:t xml:space="preserve">la plainte </w:t>
      </w:r>
      <w:r w:rsidR="002A3E50" w:rsidRPr="00B94E33">
        <w:rPr>
          <w:lang w:val="fr-FR"/>
        </w:rPr>
        <w:t xml:space="preserve">de la requérante </w:t>
      </w:r>
      <w:r w:rsidRPr="00B94E33">
        <w:rPr>
          <w:lang w:val="fr-FR"/>
        </w:rPr>
        <w:t>au parquet le 9 octobre 2012. Le 15</w:t>
      </w:r>
      <w:r w:rsidR="002A3E50" w:rsidRPr="00B94E33">
        <w:rPr>
          <w:lang w:val="fr-FR"/>
        </w:rPr>
        <w:t> </w:t>
      </w:r>
      <w:r w:rsidRPr="00B94E33">
        <w:rPr>
          <w:lang w:val="fr-FR"/>
        </w:rPr>
        <w:t xml:space="preserve">octobre 2012, le parquet, </w:t>
      </w:r>
      <w:r w:rsidR="002A3E50" w:rsidRPr="00B94E33">
        <w:rPr>
          <w:lang w:val="fr-FR"/>
        </w:rPr>
        <w:t>eu égard à la demande de mesures de protection formulée par la requérante, a ordonné de manière urgente des mesures d</w:t>
      </w:r>
      <w:r w:rsidR="00B94E33" w:rsidRPr="00B94E33">
        <w:rPr>
          <w:lang w:val="fr-FR"/>
        </w:rPr>
        <w:t>’</w:t>
      </w:r>
      <w:r w:rsidR="002A3E50" w:rsidRPr="00B94E33">
        <w:rPr>
          <w:lang w:val="fr-FR"/>
        </w:rPr>
        <w:t xml:space="preserve">investigation. Il a </w:t>
      </w:r>
      <w:r w:rsidR="0032481C" w:rsidRPr="00B94E33">
        <w:rPr>
          <w:lang w:val="fr-FR"/>
        </w:rPr>
        <w:t xml:space="preserve">en particulier </w:t>
      </w:r>
      <w:r w:rsidR="002A3E50" w:rsidRPr="00B94E33">
        <w:rPr>
          <w:lang w:val="fr-FR"/>
        </w:rPr>
        <w:t xml:space="preserve">demandé à la police </w:t>
      </w:r>
      <w:r w:rsidR="000B2DD5" w:rsidRPr="00B94E33">
        <w:rPr>
          <w:lang w:val="fr-FR"/>
        </w:rPr>
        <w:t xml:space="preserve">de vérifier </w:t>
      </w:r>
      <w:r w:rsidR="0032481C" w:rsidRPr="00B94E33">
        <w:rPr>
          <w:lang w:val="fr-FR"/>
        </w:rPr>
        <w:t>s</w:t>
      </w:r>
      <w:r w:rsidR="00B94E33" w:rsidRPr="00B94E33">
        <w:rPr>
          <w:lang w:val="fr-FR"/>
        </w:rPr>
        <w:t>’</w:t>
      </w:r>
      <w:r w:rsidR="0032481C" w:rsidRPr="00B94E33">
        <w:rPr>
          <w:lang w:val="fr-FR"/>
        </w:rPr>
        <w:t>il y avait eu des</w:t>
      </w:r>
      <w:r w:rsidR="002A3E50" w:rsidRPr="00B94E33">
        <w:rPr>
          <w:lang w:val="fr-FR"/>
        </w:rPr>
        <w:t xml:space="preserve"> témoins, </w:t>
      </w:r>
      <w:r w:rsidR="000B2DD5" w:rsidRPr="00B94E33">
        <w:rPr>
          <w:lang w:val="fr-FR"/>
        </w:rPr>
        <w:t>y compris</w:t>
      </w:r>
      <w:r w:rsidR="002A3E50" w:rsidRPr="00B94E33">
        <w:rPr>
          <w:lang w:val="fr-FR"/>
        </w:rPr>
        <w:t xml:space="preserve"> la fille de la requérante.</w:t>
      </w:r>
      <w:r w:rsidR="007D4E39" w:rsidRPr="00B94E33">
        <w:rPr>
          <w:rFonts w:ascii="Times New Roman" w:eastAsia="Times New Roman" w:hAnsi="Times New Roman" w:cs="Times New Roman"/>
          <w:szCs w:val="24"/>
          <w:lang w:val="fr-FR"/>
        </w:rPr>
        <w:t xml:space="preserve"> Elle note que, entre-temps, la requérante avait trouvé refuge, par le biais d</w:t>
      </w:r>
      <w:r w:rsidR="00B94E33" w:rsidRPr="00B94E33">
        <w:rPr>
          <w:rFonts w:ascii="Times New Roman" w:eastAsia="Times New Roman" w:hAnsi="Times New Roman" w:cs="Times New Roman"/>
          <w:szCs w:val="24"/>
          <w:lang w:val="fr-FR"/>
        </w:rPr>
        <w:t>’</w:t>
      </w:r>
      <w:r w:rsidR="007D4E39" w:rsidRPr="00B94E33">
        <w:rPr>
          <w:rFonts w:ascii="Times New Roman" w:eastAsia="Times New Roman" w:hAnsi="Times New Roman" w:cs="Times New Roman"/>
          <w:szCs w:val="24"/>
          <w:lang w:val="fr-FR"/>
        </w:rPr>
        <w:t>une association, dans un centre pour les victimes de violences, où elle est restée pendant trois mois</w:t>
      </w:r>
    </w:p>
    <w:p w:rsidR="007D4E39" w:rsidRPr="00B94E33" w:rsidRDefault="009149F5"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113</w:t>
      </w:r>
      <w:r w:rsidRPr="00B94E33">
        <w:rPr>
          <w:lang w:val="fr-FR"/>
        </w:rPr>
        <w:fldChar w:fldCharType="end"/>
      </w:r>
      <w:r w:rsidRPr="00B94E33">
        <w:rPr>
          <w:lang w:val="fr-FR"/>
        </w:rPr>
        <w:t>.  La Cour note qu</w:t>
      </w:r>
      <w:r w:rsidR="00B94E33" w:rsidRPr="00B94E33">
        <w:rPr>
          <w:lang w:val="fr-FR"/>
        </w:rPr>
        <w:t>’</w:t>
      </w:r>
      <w:r w:rsidRPr="00B94E33">
        <w:rPr>
          <w:lang w:val="fr-FR"/>
        </w:rPr>
        <w:t xml:space="preserve">aucune ordonnance de protection </w:t>
      </w:r>
      <w:r w:rsidR="002A3E50" w:rsidRPr="00B94E33">
        <w:rPr>
          <w:lang w:val="fr-FR"/>
        </w:rPr>
        <w:t>n</w:t>
      </w:r>
      <w:r w:rsidR="00B94E33" w:rsidRPr="00B94E33">
        <w:rPr>
          <w:lang w:val="fr-FR"/>
        </w:rPr>
        <w:t>’</w:t>
      </w:r>
      <w:r w:rsidR="002A3E50" w:rsidRPr="00B94E33">
        <w:rPr>
          <w:lang w:val="fr-FR"/>
        </w:rPr>
        <w:t>a été</w:t>
      </w:r>
      <w:r w:rsidRPr="00B94E33">
        <w:rPr>
          <w:lang w:val="fr-FR"/>
        </w:rPr>
        <w:t xml:space="preserve"> émise, que le parquet </w:t>
      </w:r>
      <w:r w:rsidR="002A3E50" w:rsidRPr="00B94E33">
        <w:rPr>
          <w:lang w:val="fr-FR"/>
        </w:rPr>
        <w:t xml:space="preserve">a réitéré sa demande auprès de </w:t>
      </w:r>
      <w:r w:rsidRPr="00B94E33">
        <w:rPr>
          <w:lang w:val="fr-FR"/>
        </w:rPr>
        <w:t>la police en mars 2013</w:t>
      </w:r>
      <w:r w:rsidR="0032481C" w:rsidRPr="00B94E33">
        <w:rPr>
          <w:lang w:val="fr-FR"/>
        </w:rPr>
        <w:t xml:space="preserve"> en soulignant</w:t>
      </w:r>
      <w:r w:rsidR="002A3E50" w:rsidRPr="00B94E33">
        <w:rPr>
          <w:lang w:val="fr-FR"/>
        </w:rPr>
        <w:t xml:space="preserve"> </w:t>
      </w:r>
      <w:r w:rsidRPr="00B94E33">
        <w:rPr>
          <w:lang w:val="fr-FR"/>
        </w:rPr>
        <w:t>l</w:t>
      </w:r>
      <w:r w:rsidR="00B94E33" w:rsidRPr="00B94E33">
        <w:rPr>
          <w:lang w:val="fr-FR"/>
        </w:rPr>
        <w:t>’</w:t>
      </w:r>
      <w:r w:rsidRPr="00B94E33">
        <w:rPr>
          <w:lang w:val="fr-FR"/>
        </w:rPr>
        <w:t>urgence de la situation et que la</w:t>
      </w:r>
      <w:r w:rsidR="00A41911" w:rsidRPr="00B94E33">
        <w:rPr>
          <w:lang w:val="fr-FR"/>
        </w:rPr>
        <w:t xml:space="preserve"> requérante </w:t>
      </w:r>
      <w:r w:rsidR="002A3E50" w:rsidRPr="00B94E33">
        <w:rPr>
          <w:lang w:val="fr-FR"/>
        </w:rPr>
        <w:t>n</w:t>
      </w:r>
      <w:r w:rsidR="00B94E33" w:rsidRPr="00B94E33">
        <w:rPr>
          <w:lang w:val="fr-FR"/>
        </w:rPr>
        <w:t>’</w:t>
      </w:r>
      <w:r w:rsidR="002A3E50" w:rsidRPr="00B94E33">
        <w:rPr>
          <w:lang w:val="fr-FR"/>
        </w:rPr>
        <w:t xml:space="preserve">a été </w:t>
      </w:r>
      <w:r w:rsidR="00A41911" w:rsidRPr="00B94E33">
        <w:rPr>
          <w:lang w:val="fr-FR"/>
        </w:rPr>
        <w:t>ent</w:t>
      </w:r>
      <w:r w:rsidRPr="00B94E33">
        <w:rPr>
          <w:lang w:val="fr-FR"/>
        </w:rPr>
        <w:t xml:space="preserve">endue </w:t>
      </w:r>
      <w:r w:rsidR="002A3E50" w:rsidRPr="00B94E33">
        <w:rPr>
          <w:lang w:val="fr-FR"/>
        </w:rPr>
        <w:t>qu</w:t>
      </w:r>
      <w:r w:rsidR="00B94E33" w:rsidRPr="00B94E33">
        <w:rPr>
          <w:lang w:val="fr-FR"/>
        </w:rPr>
        <w:t>’</w:t>
      </w:r>
      <w:r w:rsidR="002A3E50" w:rsidRPr="00B94E33">
        <w:rPr>
          <w:lang w:val="fr-FR"/>
        </w:rPr>
        <w:t>en</w:t>
      </w:r>
      <w:r w:rsidRPr="00B94E33">
        <w:rPr>
          <w:lang w:val="fr-FR"/>
        </w:rPr>
        <w:t xml:space="preserve"> avril</w:t>
      </w:r>
      <w:r w:rsidR="002A3E50" w:rsidRPr="00B94E33">
        <w:rPr>
          <w:lang w:val="fr-FR"/>
        </w:rPr>
        <w:t> </w:t>
      </w:r>
      <w:r w:rsidRPr="00B94E33">
        <w:rPr>
          <w:lang w:val="fr-FR"/>
        </w:rPr>
        <w:t>2013.</w:t>
      </w:r>
    </w:p>
    <w:p w:rsidR="00B30224" w:rsidRPr="00B94E33" w:rsidRDefault="009149F5" w:rsidP="00B94E33">
      <w:pPr>
        <w:pStyle w:val="ECHRPara"/>
        <w:rPr>
          <w:rFonts w:ascii="Times New Roman" w:eastAsia="Times New Roman" w:hAnsi="Times New Roman" w:cs="Times New Roman"/>
          <w:szCs w:val="24"/>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114</w:t>
      </w:r>
      <w:r w:rsidRPr="00B94E33">
        <w:rPr>
          <w:lang w:val="fr-FR"/>
        </w:rPr>
        <w:fldChar w:fldCharType="end"/>
      </w:r>
      <w:r w:rsidRPr="00B94E33">
        <w:rPr>
          <w:lang w:val="fr-FR"/>
        </w:rPr>
        <w:t>.  </w:t>
      </w:r>
      <w:r w:rsidR="005F3F51" w:rsidRPr="00B94E33">
        <w:rPr>
          <w:lang w:val="fr-FR"/>
        </w:rPr>
        <w:t>En effet, alors même que</w:t>
      </w:r>
      <w:r w:rsidR="002A3E50" w:rsidRPr="00B94E33">
        <w:rPr>
          <w:lang w:val="fr-FR"/>
        </w:rPr>
        <w:t>,</w:t>
      </w:r>
      <w:r w:rsidR="005F3F51" w:rsidRPr="00B94E33">
        <w:rPr>
          <w:lang w:val="fr-FR"/>
        </w:rPr>
        <w:t xml:space="preserve"> dans le contexte des violences domestiques</w:t>
      </w:r>
      <w:r w:rsidR="002A3E50" w:rsidRPr="00B94E33">
        <w:rPr>
          <w:lang w:val="fr-FR"/>
        </w:rPr>
        <w:t>,</w:t>
      </w:r>
      <w:r w:rsidR="00A41911" w:rsidRPr="00B94E33">
        <w:rPr>
          <w:lang w:val="fr-FR"/>
        </w:rPr>
        <w:t xml:space="preserve"> des mesures de protection sont en principe destinées à </w:t>
      </w:r>
      <w:r w:rsidR="0032481C" w:rsidRPr="00B94E33">
        <w:rPr>
          <w:lang w:val="fr-FR"/>
        </w:rPr>
        <w:t xml:space="preserve">parer </w:t>
      </w:r>
      <w:r w:rsidR="00A41911" w:rsidRPr="00B94E33">
        <w:rPr>
          <w:lang w:val="fr-FR"/>
        </w:rPr>
        <w:t>au plus vite à une situation de danger, la Cour relève qu</w:t>
      </w:r>
      <w:r w:rsidR="00B94E33" w:rsidRPr="00B94E33">
        <w:rPr>
          <w:lang w:val="fr-FR"/>
        </w:rPr>
        <w:t>’</w:t>
      </w:r>
      <w:r w:rsidR="00A41911" w:rsidRPr="00B94E33">
        <w:rPr>
          <w:lang w:val="fr-FR"/>
        </w:rPr>
        <w:t xml:space="preserve">il aura fallu attendre </w:t>
      </w:r>
      <w:r w:rsidR="005F3F51" w:rsidRPr="00B94E33">
        <w:rPr>
          <w:lang w:val="fr-FR"/>
        </w:rPr>
        <w:t>sept</w:t>
      </w:r>
      <w:r w:rsidR="00A41911" w:rsidRPr="00B94E33">
        <w:rPr>
          <w:lang w:val="fr-FR"/>
        </w:rPr>
        <w:t xml:space="preserve"> mois </w:t>
      </w:r>
      <w:r w:rsidR="000B2DD5" w:rsidRPr="00B94E33">
        <w:rPr>
          <w:lang w:val="fr-FR"/>
        </w:rPr>
        <w:t xml:space="preserve">avant </w:t>
      </w:r>
      <w:r w:rsidR="00A41911" w:rsidRPr="00B94E33">
        <w:rPr>
          <w:lang w:val="fr-FR"/>
        </w:rPr>
        <w:t>que la r</w:t>
      </w:r>
      <w:r w:rsidR="00EF16FD" w:rsidRPr="00B94E33">
        <w:rPr>
          <w:lang w:val="fr-FR"/>
        </w:rPr>
        <w:t xml:space="preserve">equérante </w:t>
      </w:r>
      <w:r w:rsidR="000B2DD5" w:rsidRPr="00B94E33">
        <w:rPr>
          <w:lang w:val="fr-FR"/>
        </w:rPr>
        <w:t xml:space="preserve">fût </w:t>
      </w:r>
      <w:r w:rsidR="00EF16FD" w:rsidRPr="00B94E33">
        <w:rPr>
          <w:lang w:val="fr-FR"/>
        </w:rPr>
        <w:t>entendue. Un tel</w:t>
      </w:r>
      <w:r w:rsidR="00A41911" w:rsidRPr="00B94E33">
        <w:rPr>
          <w:lang w:val="fr-FR"/>
        </w:rPr>
        <w:t xml:space="preserve"> délai ne pouvait que priver la requérante du bénéfice </w:t>
      </w:r>
      <w:r w:rsidR="0032481C" w:rsidRPr="00B94E33">
        <w:rPr>
          <w:lang w:val="fr-FR"/>
        </w:rPr>
        <w:t xml:space="preserve">de la </w:t>
      </w:r>
      <w:r w:rsidR="00A41911" w:rsidRPr="00B94E33">
        <w:rPr>
          <w:lang w:val="fr-FR"/>
        </w:rPr>
        <w:t>protection immédiate que la situation requérait</w:t>
      </w:r>
      <w:r w:rsidR="00FD0647" w:rsidRPr="00B94E33">
        <w:rPr>
          <w:lang w:val="fr-FR"/>
        </w:rPr>
        <w:t>.</w:t>
      </w:r>
      <w:r w:rsidR="00FD0647" w:rsidRPr="00B94E33">
        <w:rPr>
          <w:rFonts w:ascii="Times New Roman" w:eastAsia="Times New Roman" w:hAnsi="Times New Roman" w:cs="Times New Roman"/>
          <w:szCs w:val="24"/>
          <w:lang w:val="fr-FR"/>
        </w:rPr>
        <w:t xml:space="preserve"> Certes, comme le soutient le Gouvernement, durant la période en cause, la requérante </w:t>
      </w:r>
      <w:r w:rsidR="002A3E50" w:rsidRPr="00B94E33">
        <w:rPr>
          <w:rFonts w:ascii="Times New Roman" w:eastAsia="Times New Roman" w:hAnsi="Times New Roman" w:cs="Times New Roman"/>
          <w:szCs w:val="24"/>
          <w:lang w:val="fr-FR"/>
        </w:rPr>
        <w:t>n</w:t>
      </w:r>
      <w:r w:rsidR="00B94E33" w:rsidRPr="00B94E33">
        <w:rPr>
          <w:rFonts w:ascii="Times New Roman" w:eastAsia="Times New Roman" w:hAnsi="Times New Roman" w:cs="Times New Roman"/>
          <w:szCs w:val="24"/>
          <w:lang w:val="fr-FR"/>
        </w:rPr>
        <w:t>’</w:t>
      </w:r>
      <w:r w:rsidR="002A3E50" w:rsidRPr="00B94E33">
        <w:rPr>
          <w:rFonts w:ascii="Times New Roman" w:eastAsia="Times New Roman" w:hAnsi="Times New Roman" w:cs="Times New Roman"/>
          <w:szCs w:val="24"/>
          <w:lang w:val="fr-FR"/>
        </w:rPr>
        <w:t>a pas été</w:t>
      </w:r>
      <w:r w:rsidR="00FD0647" w:rsidRPr="00B94E33">
        <w:rPr>
          <w:rFonts w:ascii="Times New Roman" w:eastAsia="Times New Roman" w:hAnsi="Times New Roman" w:cs="Times New Roman"/>
          <w:szCs w:val="24"/>
          <w:lang w:val="fr-FR"/>
        </w:rPr>
        <w:t xml:space="preserve"> victime de nouvelles violences physiques de la part de </w:t>
      </w:r>
      <w:r w:rsidR="00583228" w:rsidRPr="00B94E33">
        <w:rPr>
          <w:rFonts w:ascii="Times New Roman" w:eastAsia="Times New Roman" w:hAnsi="Times New Roman" w:cs="Times New Roman"/>
          <w:szCs w:val="24"/>
          <w:lang w:val="fr-FR"/>
        </w:rPr>
        <w:t>A.T</w:t>
      </w:r>
      <w:r w:rsidR="002A3E50" w:rsidRPr="00B94E33">
        <w:rPr>
          <w:rFonts w:ascii="Times New Roman" w:eastAsia="Times New Roman" w:hAnsi="Times New Roman" w:cs="Times New Roman"/>
          <w:szCs w:val="24"/>
          <w:lang w:val="fr-FR"/>
        </w:rPr>
        <w:t>.</w:t>
      </w:r>
      <w:r w:rsidR="00FD0647" w:rsidRPr="00B94E33">
        <w:rPr>
          <w:rFonts w:ascii="Times New Roman" w:eastAsia="Times New Roman" w:hAnsi="Times New Roman" w:cs="Times New Roman"/>
          <w:szCs w:val="24"/>
          <w:lang w:val="fr-FR"/>
        </w:rPr>
        <w:t xml:space="preserve"> Cela étant, la Cour estime qu</w:t>
      </w:r>
      <w:r w:rsidR="00B94E33" w:rsidRPr="00B94E33">
        <w:rPr>
          <w:rFonts w:ascii="Times New Roman" w:eastAsia="Times New Roman" w:hAnsi="Times New Roman" w:cs="Times New Roman"/>
          <w:szCs w:val="24"/>
          <w:lang w:val="fr-FR"/>
        </w:rPr>
        <w:t>’</w:t>
      </w:r>
      <w:r w:rsidR="00FD0647" w:rsidRPr="00B94E33">
        <w:rPr>
          <w:rFonts w:ascii="Times New Roman" w:eastAsia="Times New Roman" w:hAnsi="Times New Roman" w:cs="Times New Roman"/>
          <w:szCs w:val="24"/>
          <w:lang w:val="fr-FR"/>
        </w:rPr>
        <w:t xml:space="preserve">on ne saurait ignorer le sentiment de peur dans lequel </w:t>
      </w:r>
      <w:r w:rsidR="002A3E50" w:rsidRPr="00B94E33">
        <w:rPr>
          <w:rFonts w:ascii="Times New Roman" w:eastAsia="Times New Roman" w:hAnsi="Times New Roman" w:cs="Times New Roman"/>
          <w:szCs w:val="24"/>
          <w:lang w:val="fr-FR"/>
        </w:rPr>
        <w:t>la requérante</w:t>
      </w:r>
      <w:r w:rsidR="0032481C" w:rsidRPr="00B94E33">
        <w:rPr>
          <w:rFonts w:ascii="Times New Roman" w:eastAsia="Times New Roman" w:hAnsi="Times New Roman" w:cs="Times New Roman"/>
          <w:szCs w:val="24"/>
          <w:lang w:val="fr-FR"/>
        </w:rPr>
        <w:t>, harcelée par téléphone par A.T.,</w:t>
      </w:r>
      <w:r w:rsidR="002A3E50" w:rsidRPr="00B94E33">
        <w:rPr>
          <w:rFonts w:ascii="Times New Roman" w:eastAsia="Times New Roman" w:hAnsi="Times New Roman" w:cs="Times New Roman"/>
          <w:szCs w:val="24"/>
          <w:lang w:val="fr-FR"/>
        </w:rPr>
        <w:t xml:space="preserve"> </w:t>
      </w:r>
      <w:r w:rsidR="00FD0647" w:rsidRPr="00B94E33">
        <w:rPr>
          <w:rFonts w:ascii="Times New Roman" w:eastAsia="Times New Roman" w:hAnsi="Times New Roman" w:cs="Times New Roman"/>
          <w:szCs w:val="24"/>
          <w:lang w:val="fr-FR"/>
        </w:rPr>
        <w:t xml:space="preserve">a vécu </w:t>
      </w:r>
      <w:r w:rsidR="00971497" w:rsidRPr="00B94E33">
        <w:rPr>
          <w:rFonts w:ascii="Times New Roman" w:eastAsia="Times New Roman" w:hAnsi="Times New Roman" w:cs="Times New Roman"/>
          <w:szCs w:val="24"/>
          <w:lang w:val="fr-FR"/>
        </w:rPr>
        <w:t>l</w:t>
      </w:r>
      <w:r w:rsidR="00FD0647" w:rsidRPr="00B94E33">
        <w:rPr>
          <w:rFonts w:ascii="Times New Roman" w:eastAsia="Times New Roman" w:hAnsi="Times New Roman" w:cs="Times New Roman"/>
          <w:szCs w:val="24"/>
          <w:lang w:val="fr-FR"/>
        </w:rPr>
        <w:t>ors de son hébergement dans le centre.</w:t>
      </w:r>
    </w:p>
    <w:p w:rsidR="002604DF" w:rsidRPr="00B94E33" w:rsidRDefault="00B30224"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115</w:t>
      </w:r>
      <w:r w:rsidRPr="00B94E33">
        <w:rPr>
          <w:lang w:val="fr-FR"/>
        </w:rPr>
        <w:fldChar w:fldCharType="end"/>
      </w:r>
      <w:r w:rsidRPr="00B94E33">
        <w:rPr>
          <w:lang w:val="fr-FR"/>
        </w:rPr>
        <w:t>.  Pour la Cour, il incombait aux instances nationales de tenir compte de la situation de précarité et de vulnérabilité particulière, morale, physique et matérielle, dans laquelle se trouvait la requérante et d</w:t>
      </w:r>
      <w:r w:rsidR="00B94E33" w:rsidRPr="00B94E33">
        <w:rPr>
          <w:lang w:val="fr-FR"/>
        </w:rPr>
        <w:t>’</w:t>
      </w:r>
      <w:r w:rsidRPr="00B94E33">
        <w:rPr>
          <w:lang w:val="fr-FR"/>
        </w:rPr>
        <w:t xml:space="preserve">apprécier la situation en conséquence, en lui offrant un accompagnement approprié. </w:t>
      </w:r>
      <w:r w:rsidR="00F71B87" w:rsidRPr="00B94E33">
        <w:rPr>
          <w:lang w:val="fr-FR"/>
        </w:rPr>
        <w:t xml:space="preserve">Cela </w:t>
      </w:r>
      <w:r w:rsidR="002A3E50" w:rsidRPr="00B94E33">
        <w:rPr>
          <w:lang w:val="fr-FR"/>
        </w:rPr>
        <w:t>n</w:t>
      </w:r>
      <w:r w:rsidR="00B94E33" w:rsidRPr="00B94E33">
        <w:rPr>
          <w:lang w:val="fr-FR"/>
        </w:rPr>
        <w:t>’</w:t>
      </w:r>
      <w:r w:rsidR="002A3E50" w:rsidRPr="00B94E33">
        <w:rPr>
          <w:lang w:val="fr-FR"/>
        </w:rPr>
        <w:t>a pas été</w:t>
      </w:r>
      <w:r w:rsidR="002604DF" w:rsidRPr="00B94E33">
        <w:rPr>
          <w:lang w:val="fr-FR"/>
        </w:rPr>
        <w:t xml:space="preserve"> le cas en l</w:t>
      </w:r>
      <w:r w:rsidR="00B94E33" w:rsidRPr="00B94E33">
        <w:rPr>
          <w:lang w:val="fr-FR"/>
        </w:rPr>
        <w:t>’</w:t>
      </w:r>
      <w:r w:rsidR="002604DF" w:rsidRPr="00B94E33">
        <w:rPr>
          <w:lang w:val="fr-FR"/>
        </w:rPr>
        <w:t>espèce.</w:t>
      </w:r>
    </w:p>
    <w:p w:rsidR="00EF4E78" w:rsidRPr="00B94E33" w:rsidRDefault="002604DF"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116</w:t>
      </w:r>
      <w:r w:rsidRPr="00B94E33">
        <w:rPr>
          <w:lang w:val="fr-FR"/>
        </w:rPr>
        <w:fldChar w:fldCharType="end"/>
      </w:r>
      <w:r w:rsidRPr="00B94E33">
        <w:rPr>
          <w:lang w:val="fr-FR"/>
        </w:rPr>
        <w:t>.  </w:t>
      </w:r>
      <w:r w:rsidR="002A3E50" w:rsidRPr="00B94E33">
        <w:rPr>
          <w:lang w:val="fr-FR"/>
        </w:rPr>
        <w:t>S</w:t>
      </w:r>
      <w:r w:rsidR="00B94E33" w:rsidRPr="00B94E33">
        <w:rPr>
          <w:lang w:val="fr-FR"/>
        </w:rPr>
        <w:t>’</w:t>
      </w:r>
      <w:r w:rsidRPr="00B94E33">
        <w:rPr>
          <w:lang w:val="fr-FR"/>
        </w:rPr>
        <w:t>il est vrai que</w:t>
      </w:r>
      <w:r w:rsidR="002A3E50" w:rsidRPr="00B94E33">
        <w:rPr>
          <w:lang w:val="fr-FR"/>
        </w:rPr>
        <w:t>,</w:t>
      </w:r>
      <w:r w:rsidRPr="00B94E33">
        <w:rPr>
          <w:lang w:val="fr-FR"/>
        </w:rPr>
        <w:t xml:space="preserve"> </w:t>
      </w:r>
      <w:r w:rsidR="002A3E50" w:rsidRPr="00B94E33">
        <w:rPr>
          <w:lang w:val="fr-FR"/>
        </w:rPr>
        <w:t xml:space="preserve">sept </w:t>
      </w:r>
      <w:r w:rsidRPr="00B94E33">
        <w:rPr>
          <w:lang w:val="fr-FR"/>
        </w:rPr>
        <w:t>mois après, en avril 2013, la requérante a en partie modifi</w:t>
      </w:r>
      <w:r w:rsidR="00EB726B" w:rsidRPr="00B94E33">
        <w:rPr>
          <w:lang w:val="fr-FR"/>
        </w:rPr>
        <w:t>é</w:t>
      </w:r>
      <w:r w:rsidRPr="00B94E33">
        <w:rPr>
          <w:lang w:val="fr-FR"/>
        </w:rPr>
        <w:t xml:space="preserve"> </w:t>
      </w:r>
      <w:r w:rsidR="007D59C3" w:rsidRPr="00B94E33">
        <w:rPr>
          <w:lang w:val="fr-FR"/>
        </w:rPr>
        <w:t xml:space="preserve">ses </w:t>
      </w:r>
      <w:r w:rsidRPr="00B94E33">
        <w:rPr>
          <w:lang w:val="fr-FR"/>
        </w:rPr>
        <w:t>déclarations, ce qui a amené les autorités à c</w:t>
      </w:r>
      <w:r w:rsidR="00EB726B" w:rsidRPr="00B94E33">
        <w:rPr>
          <w:lang w:val="fr-FR"/>
        </w:rPr>
        <w:t>lasser partiellement la plainte</w:t>
      </w:r>
      <w:r w:rsidR="00BF3379" w:rsidRPr="00B94E33">
        <w:rPr>
          <w:lang w:val="fr-FR"/>
        </w:rPr>
        <w:t>,</w:t>
      </w:r>
      <w:r w:rsidR="00EB726B" w:rsidRPr="00B94E33">
        <w:rPr>
          <w:lang w:val="fr-FR"/>
        </w:rPr>
        <w:t xml:space="preserve"> </w:t>
      </w:r>
      <w:r w:rsidRPr="00B94E33">
        <w:rPr>
          <w:lang w:val="fr-FR"/>
        </w:rPr>
        <w:t xml:space="preserve">la Cour note </w:t>
      </w:r>
      <w:r w:rsidR="00BF3379" w:rsidRPr="00B94E33">
        <w:rPr>
          <w:lang w:val="fr-FR"/>
        </w:rPr>
        <w:t xml:space="preserve">toutefois </w:t>
      </w:r>
      <w:r w:rsidRPr="00B94E33">
        <w:rPr>
          <w:lang w:val="fr-FR"/>
        </w:rPr>
        <w:t>qu</w:t>
      </w:r>
      <w:r w:rsidR="00B94E33" w:rsidRPr="00B94E33">
        <w:rPr>
          <w:lang w:val="fr-FR"/>
        </w:rPr>
        <w:t>’</w:t>
      </w:r>
      <w:r w:rsidRPr="00B94E33">
        <w:rPr>
          <w:lang w:val="fr-FR"/>
        </w:rPr>
        <w:t xml:space="preserve">une procédure pour </w:t>
      </w:r>
      <w:r w:rsidR="00C5643E" w:rsidRPr="00B94E33">
        <w:rPr>
          <w:lang w:val="fr-FR"/>
        </w:rPr>
        <w:t>lésions corporelles</w:t>
      </w:r>
      <w:r w:rsidR="00BF3379" w:rsidRPr="00B94E33">
        <w:rPr>
          <w:lang w:val="fr-FR"/>
        </w:rPr>
        <w:t xml:space="preserve"> </w:t>
      </w:r>
      <w:r w:rsidR="00EF16FD" w:rsidRPr="00B94E33">
        <w:rPr>
          <w:lang w:val="fr-FR"/>
        </w:rPr>
        <w:t xml:space="preserve">aggravées </w:t>
      </w:r>
      <w:r w:rsidRPr="00B94E33">
        <w:rPr>
          <w:lang w:val="fr-FR"/>
        </w:rPr>
        <w:t xml:space="preserve">sur la </w:t>
      </w:r>
      <w:r w:rsidR="00BF3379" w:rsidRPr="00B94E33">
        <w:rPr>
          <w:lang w:val="fr-FR"/>
        </w:rPr>
        <w:t xml:space="preserve">personne de la </w:t>
      </w:r>
      <w:r w:rsidRPr="00B94E33">
        <w:rPr>
          <w:lang w:val="fr-FR"/>
        </w:rPr>
        <w:t xml:space="preserve">requérante était encore pendante </w:t>
      </w:r>
      <w:r w:rsidR="00BF3379" w:rsidRPr="00B94E33">
        <w:rPr>
          <w:lang w:val="fr-FR"/>
        </w:rPr>
        <w:t>à cette date</w:t>
      </w:r>
      <w:r w:rsidRPr="00B94E33">
        <w:rPr>
          <w:lang w:val="fr-FR"/>
        </w:rPr>
        <w:t xml:space="preserve">. Ce faisant, </w:t>
      </w:r>
      <w:r w:rsidR="00EB726B" w:rsidRPr="00B94E33">
        <w:rPr>
          <w:lang w:val="fr-FR"/>
        </w:rPr>
        <w:t>les autorités n</w:t>
      </w:r>
      <w:r w:rsidR="00B94E33" w:rsidRPr="00B94E33">
        <w:rPr>
          <w:lang w:val="fr-FR"/>
        </w:rPr>
        <w:t>’</w:t>
      </w:r>
      <w:r w:rsidR="00EB726B" w:rsidRPr="00B94E33">
        <w:rPr>
          <w:lang w:val="fr-FR"/>
        </w:rPr>
        <w:t>ont</w:t>
      </w:r>
      <w:r w:rsidRPr="00B94E33">
        <w:rPr>
          <w:lang w:val="fr-FR"/>
        </w:rPr>
        <w:t xml:space="preserve"> procédé à aucune appréciation des risques encourus par la requérante, y compris </w:t>
      </w:r>
      <w:r w:rsidR="00F71B87" w:rsidRPr="00B94E33">
        <w:rPr>
          <w:lang w:val="fr-FR"/>
        </w:rPr>
        <w:t>le</w:t>
      </w:r>
      <w:r w:rsidRPr="00B94E33">
        <w:rPr>
          <w:lang w:val="fr-FR"/>
        </w:rPr>
        <w:t xml:space="preserve"> risque de nouvelles agressions dont elle était susceptible de faire l</w:t>
      </w:r>
      <w:r w:rsidR="00B94E33" w:rsidRPr="00B94E33">
        <w:rPr>
          <w:lang w:val="fr-FR"/>
        </w:rPr>
        <w:t>’</w:t>
      </w:r>
      <w:r w:rsidRPr="00B94E33">
        <w:rPr>
          <w:lang w:val="fr-FR"/>
        </w:rPr>
        <w:t>objet.</w:t>
      </w:r>
    </w:p>
    <w:bookmarkStart w:id="21" w:name="para94"/>
    <w:bookmarkStart w:id="22" w:name="para115"/>
    <w:p w:rsidR="007D59C3" w:rsidRPr="00B94E33" w:rsidRDefault="00913952" w:rsidP="00B94E33">
      <w:pPr>
        <w:pStyle w:val="ECHRPara"/>
        <w:rPr>
          <w:snapToGrid w:val="0"/>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117</w:t>
      </w:r>
      <w:r w:rsidRPr="00B94E33">
        <w:rPr>
          <w:lang w:val="fr-FR"/>
        </w:rPr>
        <w:fldChar w:fldCharType="end"/>
      </w:r>
      <w:bookmarkEnd w:id="21"/>
      <w:bookmarkEnd w:id="22"/>
      <w:r w:rsidRPr="00B94E33">
        <w:rPr>
          <w:lang w:val="fr-FR"/>
        </w:rPr>
        <w:t>.  </w:t>
      </w:r>
      <w:r w:rsidR="007D59C3" w:rsidRPr="00B94E33">
        <w:rPr>
          <w:lang w:val="fr-FR"/>
        </w:rPr>
        <w:t>Au vu de tout ce qui précède, la Cour estime qu</w:t>
      </w:r>
      <w:r w:rsidR="00BF3379" w:rsidRPr="00B94E33">
        <w:rPr>
          <w:lang w:val="fr-FR"/>
        </w:rPr>
        <w:t xml:space="preserve">e, </w:t>
      </w:r>
      <w:r w:rsidR="007D59C3" w:rsidRPr="00B94E33">
        <w:rPr>
          <w:lang w:val="fr-FR"/>
        </w:rPr>
        <w:t xml:space="preserve">en </w:t>
      </w:r>
      <w:r w:rsidR="00BF3379" w:rsidRPr="00B94E33">
        <w:rPr>
          <w:lang w:val="fr-FR"/>
        </w:rPr>
        <w:t>n</w:t>
      </w:r>
      <w:r w:rsidR="00B94E33" w:rsidRPr="00B94E33">
        <w:rPr>
          <w:lang w:val="fr-FR"/>
        </w:rPr>
        <w:t>’</w:t>
      </w:r>
      <w:r w:rsidR="00BF3379" w:rsidRPr="00B94E33">
        <w:rPr>
          <w:lang w:val="fr-FR"/>
        </w:rPr>
        <w:t>agissant</w:t>
      </w:r>
      <w:r w:rsidR="007D59C3" w:rsidRPr="00B94E33">
        <w:rPr>
          <w:lang w:val="fr-FR"/>
        </w:rPr>
        <w:t xml:space="preserve"> pas rapidement après </w:t>
      </w:r>
      <w:r w:rsidR="00BF3379" w:rsidRPr="00B94E33">
        <w:rPr>
          <w:lang w:val="fr-FR"/>
        </w:rPr>
        <w:t xml:space="preserve">le dépôt de la </w:t>
      </w:r>
      <w:r w:rsidR="007D59C3" w:rsidRPr="00B94E33">
        <w:rPr>
          <w:lang w:val="fr-FR"/>
        </w:rPr>
        <w:t xml:space="preserve">plainte de la requérante, les instances nationales ont privé </w:t>
      </w:r>
      <w:r w:rsidR="00BF3379" w:rsidRPr="00B94E33">
        <w:rPr>
          <w:lang w:val="fr-FR"/>
        </w:rPr>
        <w:t>ladite plainte de toute efficacité</w:t>
      </w:r>
      <w:r w:rsidR="007D59C3" w:rsidRPr="00B94E33">
        <w:rPr>
          <w:lang w:val="fr-FR"/>
        </w:rPr>
        <w:t>, créant un contexte d</w:t>
      </w:r>
      <w:r w:rsidR="00B94E33" w:rsidRPr="00B94E33">
        <w:rPr>
          <w:lang w:val="fr-FR"/>
        </w:rPr>
        <w:t>’</w:t>
      </w:r>
      <w:r w:rsidR="007D59C3" w:rsidRPr="00B94E33">
        <w:rPr>
          <w:lang w:val="fr-FR"/>
        </w:rPr>
        <w:t xml:space="preserve">impunité </w:t>
      </w:r>
      <w:r w:rsidR="00BF3379" w:rsidRPr="00B94E33">
        <w:rPr>
          <w:lang w:val="fr-FR"/>
        </w:rPr>
        <w:t>favorable à la répétition par</w:t>
      </w:r>
      <w:r w:rsidR="00851CEC" w:rsidRPr="00B94E33">
        <w:rPr>
          <w:lang w:val="fr-FR"/>
        </w:rPr>
        <w:t xml:space="preserve"> </w:t>
      </w:r>
      <w:r w:rsidR="001372C0" w:rsidRPr="00B94E33">
        <w:rPr>
          <w:lang w:val="fr-FR"/>
        </w:rPr>
        <w:t>A.T.</w:t>
      </w:r>
      <w:r w:rsidR="007D59C3" w:rsidRPr="00B94E33">
        <w:rPr>
          <w:lang w:val="fr-FR"/>
        </w:rPr>
        <w:t xml:space="preserve"> </w:t>
      </w:r>
      <w:r w:rsidR="00BF3379" w:rsidRPr="00B94E33">
        <w:rPr>
          <w:lang w:val="fr-FR"/>
        </w:rPr>
        <w:t>de</w:t>
      </w:r>
      <w:r w:rsidR="007D59C3" w:rsidRPr="00B94E33">
        <w:rPr>
          <w:lang w:val="fr-FR"/>
        </w:rPr>
        <w:t xml:space="preserve"> ses </w:t>
      </w:r>
      <w:r w:rsidR="00BF3379" w:rsidRPr="00B94E33">
        <w:rPr>
          <w:lang w:val="fr-FR"/>
        </w:rPr>
        <w:t xml:space="preserve">actes de </w:t>
      </w:r>
      <w:r w:rsidR="007D59C3" w:rsidRPr="00B94E33">
        <w:rPr>
          <w:lang w:val="fr-FR"/>
        </w:rPr>
        <w:t>violence à l</w:t>
      </w:r>
      <w:r w:rsidR="00B94E33" w:rsidRPr="00B94E33">
        <w:rPr>
          <w:lang w:val="fr-FR"/>
        </w:rPr>
        <w:t>’</w:t>
      </w:r>
      <w:r w:rsidR="007D59C3" w:rsidRPr="00B94E33">
        <w:rPr>
          <w:lang w:val="fr-FR"/>
        </w:rPr>
        <w:t>encontre de sa femme et de sa famille</w:t>
      </w:r>
      <w:r w:rsidR="0027728B" w:rsidRPr="00B94E33">
        <w:rPr>
          <w:lang w:val="fr-FR"/>
        </w:rPr>
        <w:t xml:space="preserve"> (</w:t>
      </w:r>
      <w:r w:rsidR="009F3D94" w:rsidRPr="00B94E33">
        <w:rPr>
          <w:i/>
          <w:lang w:val="fr-FR"/>
        </w:rPr>
        <w:t>Halime Kılıç</w:t>
      </w:r>
      <w:r w:rsidR="009F3D94" w:rsidRPr="00B94E33">
        <w:rPr>
          <w:lang w:val="fr-FR"/>
        </w:rPr>
        <w:t xml:space="preserve"> </w:t>
      </w:r>
      <w:r w:rsidR="009F3D94" w:rsidRPr="00B94E33">
        <w:rPr>
          <w:i/>
          <w:lang w:val="fr-FR"/>
        </w:rPr>
        <w:t>c. Turquie</w:t>
      </w:r>
      <w:r w:rsidR="009F3D94" w:rsidRPr="00B94E33">
        <w:rPr>
          <w:lang w:val="fr-FR"/>
        </w:rPr>
        <w:t>, n</w:t>
      </w:r>
      <w:r w:rsidR="009F3D94" w:rsidRPr="00B94E33">
        <w:rPr>
          <w:vertAlign w:val="superscript"/>
          <w:lang w:val="fr-FR"/>
        </w:rPr>
        <w:t>o</w:t>
      </w:r>
      <w:r w:rsidR="004B08DB" w:rsidRPr="00B94E33">
        <w:rPr>
          <w:vertAlign w:val="superscript"/>
          <w:lang w:val="fr-FR"/>
        </w:rPr>
        <w:t> </w:t>
      </w:r>
      <w:r w:rsidR="009F3D94" w:rsidRPr="00B94E33">
        <w:rPr>
          <w:lang w:val="fr-FR"/>
        </w:rPr>
        <w:t>63034/11</w:t>
      </w:r>
      <w:r w:rsidR="009F3D94" w:rsidRPr="00B94E33">
        <w:rPr>
          <w:snapToGrid w:val="0"/>
          <w:lang w:val="fr-FR"/>
        </w:rPr>
        <w:t xml:space="preserve">, § 99, 28 </w:t>
      </w:r>
      <w:r w:rsidR="009F3D94" w:rsidRPr="00B94E33">
        <w:rPr>
          <w:lang w:val="fr-FR"/>
        </w:rPr>
        <w:t>juin</w:t>
      </w:r>
      <w:r w:rsidR="009F3D94" w:rsidRPr="00B94E33">
        <w:rPr>
          <w:snapToGrid w:val="0"/>
          <w:lang w:val="fr-FR"/>
        </w:rPr>
        <w:t xml:space="preserve"> 2016).</w:t>
      </w:r>
    </w:p>
    <w:p w:rsidR="00766526" w:rsidRPr="00B94E33" w:rsidRDefault="00766526" w:rsidP="00B94E33">
      <w:pPr>
        <w:pStyle w:val="ECHRPara"/>
        <w:rPr>
          <w:lang w:val="fr-FR"/>
        </w:rPr>
      </w:pPr>
      <w:r w:rsidRPr="00B94E33">
        <w:rPr>
          <w:lang w:val="fr-FR"/>
        </w:rPr>
        <w:lastRenderedPageBreak/>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118</w:t>
      </w:r>
      <w:r w:rsidRPr="00B94E33">
        <w:rPr>
          <w:lang w:val="fr-FR"/>
        </w:rPr>
        <w:fldChar w:fldCharType="end"/>
      </w:r>
      <w:r w:rsidRPr="00B94E33">
        <w:rPr>
          <w:lang w:val="fr-FR"/>
        </w:rPr>
        <w:t>.  Bien que le Gouvernement avance qu</w:t>
      </w:r>
      <w:r w:rsidR="00B94E33" w:rsidRPr="00B94E33">
        <w:rPr>
          <w:lang w:val="fr-FR"/>
        </w:rPr>
        <w:t>’</w:t>
      </w:r>
      <w:r w:rsidRPr="00B94E33">
        <w:rPr>
          <w:lang w:val="fr-FR"/>
        </w:rPr>
        <w:t>il n</w:t>
      </w:r>
      <w:r w:rsidR="00B94E33" w:rsidRPr="00B94E33">
        <w:rPr>
          <w:lang w:val="fr-FR"/>
        </w:rPr>
        <w:t>’</w:t>
      </w:r>
      <w:r w:rsidRPr="00B94E33">
        <w:rPr>
          <w:lang w:val="fr-FR"/>
        </w:rPr>
        <w:t>existait aucune preuve tangible d</w:t>
      </w:r>
      <w:r w:rsidR="00B94E33" w:rsidRPr="00B94E33">
        <w:rPr>
          <w:lang w:val="fr-FR"/>
        </w:rPr>
        <w:t>’</w:t>
      </w:r>
      <w:r w:rsidRPr="00B94E33">
        <w:rPr>
          <w:lang w:val="fr-FR"/>
        </w:rPr>
        <w:t>un danger imminent pour la vie de la requérante et pour celle de son fils, la Cour estime qu</w:t>
      </w:r>
      <w:r w:rsidR="00B94E33" w:rsidRPr="00B94E33">
        <w:rPr>
          <w:lang w:val="fr-FR"/>
        </w:rPr>
        <w:t>’</w:t>
      </w:r>
      <w:r w:rsidRPr="00B94E33">
        <w:rPr>
          <w:lang w:val="fr-FR"/>
        </w:rPr>
        <w:t>il ne semble pas que les autorités aient procédé à l</w:t>
      </w:r>
      <w:r w:rsidR="00B94E33" w:rsidRPr="00B94E33">
        <w:rPr>
          <w:lang w:val="fr-FR"/>
        </w:rPr>
        <w:t>’</w:t>
      </w:r>
      <w:r w:rsidRPr="00B94E33">
        <w:rPr>
          <w:lang w:val="fr-FR"/>
        </w:rPr>
        <w:t>évaluation des risques que A.T. faisait courir à cette dernière.</w:t>
      </w:r>
    </w:p>
    <w:p w:rsidR="00766526" w:rsidRPr="00B94E33" w:rsidRDefault="00766526"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119</w:t>
      </w:r>
      <w:r w:rsidRPr="00B94E33">
        <w:rPr>
          <w:lang w:val="fr-FR"/>
        </w:rPr>
        <w:fldChar w:fldCharType="end"/>
      </w:r>
      <w:r w:rsidRPr="00B94E33">
        <w:rPr>
          <w:lang w:val="fr-FR"/>
        </w:rPr>
        <w:t>.  Elle note en effet que</w:t>
      </w:r>
      <w:r w:rsidR="00982D9E" w:rsidRPr="00B94E33">
        <w:rPr>
          <w:lang w:val="fr-FR"/>
        </w:rPr>
        <w:t xml:space="preserve"> le contexte d</w:t>
      </w:r>
      <w:r w:rsidR="00B94E33" w:rsidRPr="00B94E33">
        <w:rPr>
          <w:lang w:val="fr-FR"/>
        </w:rPr>
        <w:t>’</w:t>
      </w:r>
      <w:r w:rsidR="00982D9E" w:rsidRPr="00B94E33">
        <w:rPr>
          <w:lang w:val="fr-FR"/>
        </w:rPr>
        <w:t xml:space="preserve">impunité mentionné ci-dessus (paragraphe 117) a culminé finalement sur les évènements tragiques de la nuit du 25 novembre 2013. La Cour observe à cet égard que </w:t>
      </w:r>
      <w:r w:rsidR="00F00089" w:rsidRPr="00B94E33">
        <w:rPr>
          <w:lang w:val="fr-FR"/>
        </w:rPr>
        <w:t>les forces de l</w:t>
      </w:r>
      <w:r w:rsidR="00B94E33" w:rsidRPr="00B94E33">
        <w:rPr>
          <w:lang w:val="fr-FR"/>
        </w:rPr>
        <w:t>’</w:t>
      </w:r>
      <w:r w:rsidR="00F00089" w:rsidRPr="00B94E33">
        <w:rPr>
          <w:lang w:val="fr-FR"/>
        </w:rPr>
        <w:t>ordre</w:t>
      </w:r>
      <w:r w:rsidRPr="00B94E33">
        <w:rPr>
          <w:lang w:val="fr-FR"/>
        </w:rPr>
        <w:t xml:space="preserve"> </w:t>
      </w:r>
      <w:r w:rsidR="00F00089" w:rsidRPr="00B94E33">
        <w:rPr>
          <w:lang w:val="fr-FR"/>
        </w:rPr>
        <w:t xml:space="preserve">sont intervenues </w:t>
      </w:r>
      <w:r w:rsidR="00982D9E" w:rsidRPr="00B94E33">
        <w:rPr>
          <w:lang w:val="fr-FR"/>
        </w:rPr>
        <w:t xml:space="preserve">à </w:t>
      </w:r>
      <w:r w:rsidRPr="00B94E33">
        <w:rPr>
          <w:lang w:val="fr-FR"/>
        </w:rPr>
        <w:t>deux reprises</w:t>
      </w:r>
      <w:r w:rsidR="00982D9E" w:rsidRPr="00B94E33">
        <w:rPr>
          <w:lang w:val="fr-FR"/>
        </w:rPr>
        <w:t xml:space="preserve"> </w:t>
      </w:r>
      <w:r w:rsidR="001910E1" w:rsidRPr="00B94E33">
        <w:rPr>
          <w:lang w:val="fr-FR"/>
        </w:rPr>
        <w:t>pendant la nuit en cause</w:t>
      </w:r>
      <w:r w:rsidRPr="00B94E33">
        <w:rPr>
          <w:lang w:val="fr-FR"/>
        </w:rPr>
        <w:t xml:space="preserve">. </w:t>
      </w:r>
      <w:r w:rsidR="002B78CE" w:rsidRPr="00B94E33">
        <w:rPr>
          <w:lang w:val="fr-FR"/>
        </w:rPr>
        <w:t>Alerté</w:t>
      </w:r>
      <w:r w:rsidR="00F00089" w:rsidRPr="00B94E33">
        <w:rPr>
          <w:lang w:val="fr-FR"/>
        </w:rPr>
        <w:t>s par l</w:t>
      </w:r>
      <w:r w:rsidR="00B94E33" w:rsidRPr="00B94E33">
        <w:rPr>
          <w:lang w:val="fr-FR"/>
        </w:rPr>
        <w:t>’</w:t>
      </w:r>
      <w:r w:rsidR="00F00089" w:rsidRPr="00B94E33">
        <w:rPr>
          <w:lang w:val="fr-FR"/>
        </w:rPr>
        <w:t xml:space="preserve">intéressée, les policiers </w:t>
      </w:r>
      <w:r w:rsidR="00982D9E" w:rsidRPr="00B94E33">
        <w:rPr>
          <w:lang w:val="fr-FR"/>
        </w:rPr>
        <w:t>ont d</w:t>
      </w:r>
      <w:r w:rsidR="00B94E33" w:rsidRPr="00B94E33">
        <w:rPr>
          <w:lang w:val="fr-FR"/>
        </w:rPr>
        <w:t>’</w:t>
      </w:r>
      <w:r w:rsidR="00982D9E" w:rsidRPr="00B94E33">
        <w:rPr>
          <w:lang w:val="fr-FR"/>
        </w:rPr>
        <w:t xml:space="preserve">abord </w:t>
      </w:r>
      <w:r w:rsidR="00D44C0C" w:rsidRPr="00B94E33">
        <w:rPr>
          <w:lang w:val="fr-FR"/>
        </w:rPr>
        <w:t>trouvé la porte de la chambre à coucher cassée et le sol jonché de bouteilles d</w:t>
      </w:r>
      <w:r w:rsidR="00B94E33" w:rsidRPr="00B94E33">
        <w:rPr>
          <w:lang w:val="fr-FR"/>
        </w:rPr>
        <w:t>’</w:t>
      </w:r>
      <w:r w:rsidR="00D44C0C" w:rsidRPr="00B94E33">
        <w:rPr>
          <w:lang w:val="fr-FR"/>
        </w:rPr>
        <w:t>alcool</w:t>
      </w:r>
      <w:r w:rsidR="00375782" w:rsidRPr="00B94E33">
        <w:rPr>
          <w:lang w:val="fr-FR"/>
        </w:rPr>
        <w:t>. L</w:t>
      </w:r>
      <w:r w:rsidR="00D44C0C" w:rsidRPr="00B94E33">
        <w:rPr>
          <w:lang w:val="fr-FR"/>
        </w:rPr>
        <w:t xml:space="preserve">a requérante </w:t>
      </w:r>
      <w:r w:rsidR="00375782" w:rsidRPr="00B94E33">
        <w:rPr>
          <w:lang w:val="fr-FR"/>
        </w:rPr>
        <w:t>les avait informé</w:t>
      </w:r>
      <w:r w:rsidR="00F00089" w:rsidRPr="00B94E33">
        <w:rPr>
          <w:lang w:val="fr-FR"/>
        </w:rPr>
        <w:t>s</w:t>
      </w:r>
      <w:r w:rsidR="00D44C0C" w:rsidRPr="00B94E33">
        <w:rPr>
          <w:lang w:val="fr-FR"/>
        </w:rPr>
        <w:t xml:space="preserve"> que son mari </w:t>
      </w:r>
      <w:r w:rsidR="00F00089" w:rsidRPr="00B94E33">
        <w:rPr>
          <w:lang w:val="fr-FR"/>
        </w:rPr>
        <w:t>avait bu et qu</w:t>
      </w:r>
      <w:r w:rsidR="00B94E33" w:rsidRPr="00B94E33">
        <w:rPr>
          <w:lang w:val="fr-FR"/>
        </w:rPr>
        <w:t>’</w:t>
      </w:r>
      <w:r w:rsidR="00F00089" w:rsidRPr="00B94E33">
        <w:rPr>
          <w:lang w:val="fr-FR"/>
        </w:rPr>
        <w:t xml:space="preserve">elle avait décidé de les </w:t>
      </w:r>
      <w:r w:rsidR="00D44C0C" w:rsidRPr="00B94E33">
        <w:rPr>
          <w:lang w:val="fr-FR"/>
        </w:rPr>
        <w:t>appeler parce qu</w:t>
      </w:r>
      <w:r w:rsidR="00B94E33" w:rsidRPr="00B94E33">
        <w:rPr>
          <w:lang w:val="fr-FR"/>
        </w:rPr>
        <w:t>’</w:t>
      </w:r>
      <w:r w:rsidR="00D44C0C" w:rsidRPr="00B94E33">
        <w:rPr>
          <w:lang w:val="fr-FR"/>
        </w:rPr>
        <w:t>elle estimait qu</w:t>
      </w:r>
      <w:r w:rsidR="00B94E33" w:rsidRPr="00B94E33">
        <w:rPr>
          <w:lang w:val="fr-FR"/>
        </w:rPr>
        <w:t>’</w:t>
      </w:r>
      <w:r w:rsidR="00D44C0C" w:rsidRPr="00B94E33">
        <w:rPr>
          <w:lang w:val="fr-FR"/>
        </w:rPr>
        <w:t>il avait besoin d</w:t>
      </w:r>
      <w:r w:rsidR="00B94E33" w:rsidRPr="00B94E33">
        <w:rPr>
          <w:lang w:val="fr-FR"/>
        </w:rPr>
        <w:t>’</w:t>
      </w:r>
      <w:r w:rsidR="00D44C0C" w:rsidRPr="00B94E33">
        <w:rPr>
          <w:lang w:val="fr-FR"/>
        </w:rPr>
        <w:t>un médecin ; elle leur avait dit qu</w:t>
      </w:r>
      <w:r w:rsidR="00B94E33" w:rsidRPr="00B94E33">
        <w:rPr>
          <w:lang w:val="fr-FR"/>
        </w:rPr>
        <w:t>’</w:t>
      </w:r>
      <w:r w:rsidR="00D44C0C" w:rsidRPr="00B94E33">
        <w:rPr>
          <w:lang w:val="fr-FR"/>
        </w:rPr>
        <w:t>elle avait déposé une plainte contre son mari par le passé, mais qu</w:t>
      </w:r>
      <w:r w:rsidR="00B94E33" w:rsidRPr="00B94E33">
        <w:rPr>
          <w:lang w:val="fr-FR"/>
        </w:rPr>
        <w:t>’</w:t>
      </w:r>
      <w:r w:rsidR="00D44C0C" w:rsidRPr="00B94E33">
        <w:rPr>
          <w:lang w:val="fr-FR"/>
        </w:rPr>
        <w:t>elle avait e</w:t>
      </w:r>
      <w:r w:rsidR="00F00089" w:rsidRPr="00B94E33">
        <w:rPr>
          <w:lang w:val="fr-FR"/>
        </w:rPr>
        <w:t>nsuite modifié ses accusations.</w:t>
      </w:r>
      <w:r w:rsidR="00D44C0C" w:rsidRPr="00B94E33">
        <w:rPr>
          <w:lang w:val="fr-FR"/>
        </w:rPr>
        <w:t xml:space="preserve"> </w:t>
      </w:r>
      <w:r w:rsidR="00F00089" w:rsidRPr="00B94E33">
        <w:rPr>
          <w:lang w:val="fr-FR"/>
        </w:rPr>
        <w:t>Le</w:t>
      </w:r>
      <w:r w:rsidR="00D44C0C" w:rsidRPr="00B94E33">
        <w:rPr>
          <w:lang w:val="fr-FR"/>
        </w:rPr>
        <w:t xml:space="preserve"> fils </w:t>
      </w:r>
      <w:r w:rsidR="00F00089" w:rsidRPr="00B94E33">
        <w:rPr>
          <w:lang w:val="fr-FR"/>
        </w:rPr>
        <w:t>du couple</w:t>
      </w:r>
      <w:r w:rsidR="00D44C0C" w:rsidRPr="00B94E33">
        <w:rPr>
          <w:lang w:val="fr-FR"/>
        </w:rPr>
        <w:t xml:space="preserve"> avait déclaré que</w:t>
      </w:r>
      <w:r w:rsidR="00D44C0C" w:rsidRPr="00B94E33">
        <w:rPr>
          <w:b/>
          <w:lang w:val="fr-FR"/>
        </w:rPr>
        <w:t xml:space="preserve"> </w:t>
      </w:r>
      <w:r w:rsidR="00D44C0C" w:rsidRPr="00B94E33">
        <w:rPr>
          <w:lang w:val="fr-FR"/>
        </w:rPr>
        <w:t>son père n</w:t>
      </w:r>
      <w:r w:rsidR="00B94E33" w:rsidRPr="00B94E33">
        <w:rPr>
          <w:lang w:val="fr-FR"/>
        </w:rPr>
        <w:t>’</w:t>
      </w:r>
      <w:r w:rsidR="00D44C0C" w:rsidRPr="00B94E33">
        <w:rPr>
          <w:lang w:val="fr-FR"/>
        </w:rPr>
        <w:t>était pas violent à son é</w:t>
      </w:r>
      <w:r w:rsidR="00F00089" w:rsidRPr="00B94E33">
        <w:rPr>
          <w:lang w:val="fr-FR"/>
        </w:rPr>
        <w:t>gard</w:t>
      </w:r>
      <w:r w:rsidR="00982D9E" w:rsidRPr="00B94E33">
        <w:rPr>
          <w:lang w:val="fr-FR"/>
        </w:rPr>
        <w:t xml:space="preserve">. Enfin, </w:t>
      </w:r>
      <w:r w:rsidR="00D44C0C" w:rsidRPr="00B94E33">
        <w:rPr>
          <w:lang w:val="fr-FR"/>
        </w:rPr>
        <w:t xml:space="preserve">ni la requérante ni son fils ne présentaient de signes de violences. A.T. </w:t>
      </w:r>
      <w:r w:rsidR="00375782" w:rsidRPr="00B94E33">
        <w:rPr>
          <w:lang w:val="fr-FR"/>
        </w:rPr>
        <w:t>avait été</w:t>
      </w:r>
      <w:r w:rsidR="00D44C0C" w:rsidRPr="00B94E33">
        <w:rPr>
          <w:lang w:val="fr-FR"/>
        </w:rPr>
        <w:t xml:space="preserve"> transporté</w:t>
      </w:r>
      <w:r w:rsidR="00982D9E" w:rsidRPr="00B94E33">
        <w:rPr>
          <w:lang w:val="fr-FR"/>
        </w:rPr>
        <w:t xml:space="preserve"> </w:t>
      </w:r>
      <w:r w:rsidR="00D44C0C" w:rsidRPr="00B94E33">
        <w:rPr>
          <w:lang w:val="fr-FR"/>
        </w:rPr>
        <w:t>à l</w:t>
      </w:r>
      <w:r w:rsidR="00B94E33" w:rsidRPr="00B94E33">
        <w:rPr>
          <w:lang w:val="fr-FR"/>
        </w:rPr>
        <w:t>’</w:t>
      </w:r>
      <w:r w:rsidR="00D44C0C" w:rsidRPr="00B94E33">
        <w:rPr>
          <w:lang w:val="fr-FR"/>
        </w:rPr>
        <w:t>hôpital en état d</w:t>
      </w:r>
      <w:r w:rsidR="00B94E33" w:rsidRPr="00B94E33">
        <w:rPr>
          <w:lang w:val="fr-FR"/>
        </w:rPr>
        <w:t>’</w:t>
      </w:r>
      <w:r w:rsidR="00D44C0C" w:rsidRPr="00B94E33">
        <w:rPr>
          <w:lang w:val="fr-FR"/>
        </w:rPr>
        <w:t>ivresse</w:t>
      </w:r>
      <w:r w:rsidR="00982D9E" w:rsidRPr="00B94E33">
        <w:rPr>
          <w:lang w:val="fr-FR"/>
        </w:rPr>
        <w:t xml:space="preserve"> mais il en était sorti par la suite </w:t>
      </w:r>
      <w:r w:rsidR="00375782" w:rsidRPr="00B94E33">
        <w:rPr>
          <w:lang w:val="fr-FR"/>
        </w:rPr>
        <w:t xml:space="preserve">pour se rendre </w:t>
      </w:r>
      <w:r w:rsidR="00D44C0C" w:rsidRPr="00B94E33">
        <w:rPr>
          <w:lang w:val="fr-FR"/>
        </w:rPr>
        <w:t>dans une salle de jeux.</w:t>
      </w:r>
    </w:p>
    <w:p w:rsidR="00D44C0C" w:rsidRPr="00B94E33" w:rsidRDefault="000054F8" w:rsidP="00B94E33">
      <w:pPr>
        <w:pStyle w:val="ECHRPara"/>
        <w:rPr>
          <w:lang w:val="fr-FR"/>
        </w:rPr>
      </w:pPr>
      <w:r w:rsidRPr="00B94E33">
        <w:rPr>
          <w:lang w:val="fr-FR"/>
        </w:rPr>
        <w:t>La</w:t>
      </w:r>
      <w:r w:rsidR="00D44C0C" w:rsidRPr="00B94E33">
        <w:rPr>
          <w:lang w:val="fr-FR"/>
        </w:rPr>
        <w:t xml:space="preserve"> police est intervenue </w:t>
      </w:r>
      <w:r w:rsidRPr="00B94E33">
        <w:rPr>
          <w:lang w:val="fr-FR"/>
        </w:rPr>
        <w:t xml:space="preserve">une </w:t>
      </w:r>
      <w:r w:rsidR="001910E1" w:rsidRPr="00B94E33">
        <w:rPr>
          <w:lang w:val="fr-FR"/>
        </w:rPr>
        <w:t xml:space="preserve">seconde </w:t>
      </w:r>
      <w:r w:rsidRPr="00B94E33">
        <w:rPr>
          <w:lang w:val="fr-FR"/>
        </w:rPr>
        <w:t xml:space="preserve">fois la </w:t>
      </w:r>
      <w:r w:rsidR="00F00089" w:rsidRPr="00B94E33">
        <w:rPr>
          <w:lang w:val="fr-FR"/>
        </w:rPr>
        <w:t xml:space="preserve">même </w:t>
      </w:r>
      <w:r w:rsidRPr="00B94E33">
        <w:rPr>
          <w:lang w:val="fr-FR"/>
        </w:rPr>
        <w:t xml:space="preserve">nuit </w:t>
      </w:r>
      <w:r w:rsidR="00766526" w:rsidRPr="00B94E33">
        <w:rPr>
          <w:lang w:val="fr-FR"/>
        </w:rPr>
        <w:t>lorsque A.T. a été verbalisé lors d</w:t>
      </w:r>
      <w:r w:rsidR="00B94E33" w:rsidRPr="00B94E33">
        <w:rPr>
          <w:lang w:val="fr-FR"/>
        </w:rPr>
        <w:t>’</w:t>
      </w:r>
      <w:r w:rsidR="00766526" w:rsidRPr="00B94E33">
        <w:rPr>
          <w:lang w:val="fr-FR"/>
        </w:rPr>
        <w:t>un contrôle d</w:t>
      </w:r>
      <w:r w:rsidR="00B94E33" w:rsidRPr="00B94E33">
        <w:rPr>
          <w:lang w:val="fr-FR"/>
        </w:rPr>
        <w:t>’</w:t>
      </w:r>
      <w:r w:rsidR="00766526" w:rsidRPr="00B94E33">
        <w:rPr>
          <w:lang w:val="fr-FR"/>
        </w:rPr>
        <w:t>identité dans la rue.</w:t>
      </w:r>
      <w:r w:rsidR="00D44C0C" w:rsidRPr="00B94E33">
        <w:rPr>
          <w:lang w:val="fr-FR"/>
        </w:rPr>
        <w:t xml:space="preserve"> Il ressort du procès-verbal que A.T. était en état d</w:t>
      </w:r>
      <w:r w:rsidR="00B94E33" w:rsidRPr="00B94E33">
        <w:rPr>
          <w:lang w:val="fr-FR"/>
        </w:rPr>
        <w:t>’</w:t>
      </w:r>
      <w:r w:rsidR="00D44C0C" w:rsidRPr="00B94E33">
        <w:rPr>
          <w:lang w:val="fr-FR"/>
        </w:rPr>
        <w:t>ivresse, qu</w:t>
      </w:r>
      <w:r w:rsidR="00B94E33" w:rsidRPr="00B94E33">
        <w:rPr>
          <w:lang w:val="fr-FR"/>
        </w:rPr>
        <w:t>’</w:t>
      </w:r>
      <w:r w:rsidR="00D44C0C" w:rsidRPr="00B94E33">
        <w:rPr>
          <w:lang w:val="fr-FR"/>
        </w:rPr>
        <w:t>il avait du mal à se tenir en équilibre et que la police l</w:t>
      </w:r>
      <w:r w:rsidR="00B94E33" w:rsidRPr="00B94E33">
        <w:rPr>
          <w:lang w:val="fr-FR"/>
        </w:rPr>
        <w:t>’</w:t>
      </w:r>
      <w:r w:rsidR="00D44C0C" w:rsidRPr="00B94E33">
        <w:rPr>
          <w:lang w:val="fr-FR"/>
        </w:rPr>
        <w:t>a</w:t>
      </w:r>
      <w:r w:rsidR="00F00089" w:rsidRPr="00B94E33">
        <w:rPr>
          <w:lang w:val="fr-FR"/>
        </w:rPr>
        <w:t>vait</w:t>
      </w:r>
      <w:r w:rsidR="00D44C0C" w:rsidRPr="00B94E33">
        <w:rPr>
          <w:lang w:val="fr-FR"/>
        </w:rPr>
        <w:t xml:space="preserve"> </w:t>
      </w:r>
      <w:r w:rsidR="00F00089" w:rsidRPr="00B94E33">
        <w:rPr>
          <w:lang w:val="fr-FR"/>
        </w:rPr>
        <w:t>laissé</w:t>
      </w:r>
      <w:r w:rsidR="00D44C0C" w:rsidRPr="00B94E33">
        <w:rPr>
          <w:lang w:val="fr-FR"/>
        </w:rPr>
        <w:t xml:space="preserve"> partir après l</w:t>
      </w:r>
      <w:r w:rsidR="00B94E33" w:rsidRPr="00B94E33">
        <w:rPr>
          <w:lang w:val="fr-FR"/>
        </w:rPr>
        <w:t>’</w:t>
      </w:r>
      <w:r w:rsidR="00D44C0C" w:rsidRPr="00B94E33">
        <w:rPr>
          <w:lang w:val="fr-FR"/>
        </w:rPr>
        <w:t>avoir verbalisé.</w:t>
      </w:r>
    </w:p>
    <w:p w:rsidR="009A4363" w:rsidRPr="00B94E33" w:rsidRDefault="000054F8" w:rsidP="00B94E33">
      <w:pPr>
        <w:pStyle w:val="ECHRPara"/>
        <w:rPr>
          <w:rFonts w:ascii="Times New Roman" w:eastAsia="Times New Roman" w:hAnsi="Times New Roman" w:cs="Times New Roman"/>
          <w:szCs w:val="24"/>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120</w:t>
      </w:r>
      <w:r w:rsidRPr="00B94E33">
        <w:rPr>
          <w:lang w:val="fr-FR"/>
        </w:rPr>
        <w:fldChar w:fldCharType="end"/>
      </w:r>
      <w:r w:rsidRPr="00B94E33">
        <w:rPr>
          <w:lang w:val="fr-FR"/>
        </w:rPr>
        <w:t>.  La Cour note qu</w:t>
      </w:r>
      <w:r w:rsidR="00B94E33" w:rsidRPr="00B94E33">
        <w:rPr>
          <w:lang w:val="fr-FR"/>
        </w:rPr>
        <w:t>’</w:t>
      </w:r>
      <w:r w:rsidR="001910E1" w:rsidRPr="00B94E33">
        <w:rPr>
          <w:lang w:val="fr-FR"/>
        </w:rPr>
        <w:t>à</w:t>
      </w:r>
      <w:r w:rsidR="00766526" w:rsidRPr="00B94E33">
        <w:rPr>
          <w:lang w:val="fr-FR"/>
        </w:rPr>
        <w:t xml:space="preserve"> aucun de ces deux moments, les autorités n</w:t>
      </w:r>
      <w:r w:rsidR="00B94E33" w:rsidRPr="00B94E33">
        <w:rPr>
          <w:lang w:val="fr-FR"/>
        </w:rPr>
        <w:t>’</w:t>
      </w:r>
      <w:r w:rsidR="00766526" w:rsidRPr="00B94E33">
        <w:rPr>
          <w:lang w:val="fr-FR"/>
        </w:rPr>
        <w:t>ont pris de dispositions particulières en vue de fournir à la requérante une protection adéquate en rapport avec la gravité de la situation</w:t>
      </w:r>
      <w:r w:rsidR="001910E1" w:rsidRPr="00B94E33">
        <w:rPr>
          <w:lang w:val="fr-FR"/>
        </w:rPr>
        <w:t xml:space="preserve">, alors même que les </w:t>
      </w:r>
      <w:r w:rsidR="005D304C" w:rsidRPr="00B94E33">
        <w:rPr>
          <w:rFonts w:ascii="Times New Roman" w:eastAsia="Times New Roman" w:hAnsi="Times New Roman" w:cs="Times New Roman"/>
          <w:szCs w:val="24"/>
          <w:lang w:val="fr-FR"/>
        </w:rPr>
        <w:t xml:space="preserve">violences exercées par </w:t>
      </w:r>
      <w:r w:rsidRPr="00B94E33">
        <w:rPr>
          <w:rFonts w:ascii="Times New Roman" w:eastAsia="Times New Roman" w:hAnsi="Times New Roman" w:cs="Times New Roman"/>
          <w:szCs w:val="24"/>
          <w:lang w:val="fr-FR"/>
        </w:rPr>
        <w:t>A.T.</w:t>
      </w:r>
      <w:r w:rsidR="005D304C" w:rsidRPr="00B94E33">
        <w:rPr>
          <w:rFonts w:ascii="Times New Roman" w:eastAsia="Times New Roman" w:hAnsi="Times New Roman" w:cs="Times New Roman"/>
          <w:szCs w:val="24"/>
          <w:lang w:val="fr-FR"/>
        </w:rPr>
        <w:t xml:space="preserve"> sur son épouse étaient connues des forces de l</w:t>
      </w:r>
      <w:r w:rsidR="00B94E33" w:rsidRPr="00B94E33">
        <w:rPr>
          <w:rFonts w:ascii="Times New Roman" w:eastAsia="Times New Roman" w:hAnsi="Times New Roman" w:cs="Times New Roman"/>
          <w:szCs w:val="24"/>
          <w:lang w:val="fr-FR"/>
        </w:rPr>
        <w:t>’</w:t>
      </w:r>
      <w:r w:rsidR="005D304C" w:rsidRPr="00B94E33">
        <w:rPr>
          <w:rFonts w:ascii="Times New Roman" w:eastAsia="Times New Roman" w:hAnsi="Times New Roman" w:cs="Times New Roman"/>
          <w:szCs w:val="24"/>
          <w:lang w:val="fr-FR"/>
        </w:rPr>
        <w:t>ordre</w:t>
      </w:r>
      <w:r w:rsidRPr="00B94E33">
        <w:rPr>
          <w:rFonts w:ascii="Times New Roman" w:eastAsia="Times New Roman" w:hAnsi="Times New Roman" w:cs="Times New Roman"/>
          <w:szCs w:val="24"/>
          <w:lang w:val="fr-FR"/>
        </w:rPr>
        <w:t xml:space="preserve">, </w:t>
      </w:r>
      <w:r w:rsidRPr="00B94E33">
        <w:rPr>
          <w:lang w:val="fr-FR"/>
        </w:rPr>
        <w:t>une procédure pour lésions corporelles aggravées sur la personne de la requérante éta</w:t>
      </w:r>
      <w:r w:rsidR="001910E1" w:rsidRPr="00B94E33">
        <w:rPr>
          <w:lang w:val="fr-FR"/>
        </w:rPr>
        <w:t>n</w:t>
      </w:r>
      <w:r w:rsidRPr="00B94E33">
        <w:rPr>
          <w:lang w:val="fr-FR"/>
        </w:rPr>
        <w:t>t encore pendante à cette date</w:t>
      </w:r>
      <w:r w:rsidR="00375782" w:rsidRPr="00B94E33">
        <w:rPr>
          <w:lang w:val="fr-FR"/>
        </w:rPr>
        <w:t xml:space="preserve"> (voir paragraphe 35 ci-dessus)</w:t>
      </w:r>
      <w:r w:rsidR="000D1560" w:rsidRPr="00B94E33">
        <w:rPr>
          <w:lang w:val="fr-FR"/>
        </w:rPr>
        <w:t>.</w:t>
      </w:r>
    </w:p>
    <w:p w:rsidR="000D1560" w:rsidRPr="00B94E33" w:rsidRDefault="000D1560" w:rsidP="00B94E33">
      <w:pPr>
        <w:pStyle w:val="ECHRPara"/>
        <w:rPr>
          <w:b/>
          <w:i/>
          <w:lang w:val="fr-FR"/>
        </w:rPr>
      </w:pPr>
      <w:r w:rsidRPr="00B94E33">
        <w:rPr>
          <w:rFonts w:ascii="Times New Roman" w:eastAsia="Times New Roman" w:hAnsi="Times New Roman" w:cs="Times New Roman"/>
          <w:szCs w:val="24"/>
          <w:lang w:val="fr-FR"/>
        </w:rPr>
        <w:fldChar w:fldCharType="begin"/>
      </w:r>
      <w:r w:rsidRPr="00B94E33">
        <w:rPr>
          <w:rFonts w:ascii="Times New Roman" w:eastAsia="Times New Roman" w:hAnsi="Times New Roman" w:cs="Times New Roman"/>
          <w:szCs w:val="24"/>
          <w:lang w:val="fr-FR"/>
        </w:rPr>
        <w:instrText xml:space="preserve"> SEQ level0 \*arabic </w:instrText>
      </w:r>
      <w:r w:rsidRPr="00B94E33">
        <w:rPr>
          <w:rFonts w:ascii="Times New Roman" w:eastAsia="Times New Roman" w:hAnsi="Times New Roman" w:cs="Times New Roman"/>
          <w:szCs w:val="24"/>
          <w:lang w:val="fr-FR"/>
        </w:rPr>
        <w:fldChar w:fldCharType="separate"/>
      </w:r>
      <w:r w:rsidR="00B94E33" w:rsidRPr="00B94E33">
        <w:rPr>
          <w:rFonts w:ascii="Times New Roman" w:eastAsia="Times New Roman" w:hAnsi="Times New Roman" w:cs="Times New Roman"/>
          <w:noProof/>
          <w:szCs w:val="24"/>
          <w:lang w:val="fr-FR"/>
        </w:rPr>
        <w:t>121</w:t>
      </w:r>
      <w:r w:rsidRPr="00B94E33">
        <w:rPr>
          <w:rFonts w:ascii="Times New Roman" w:eastAsia="Times New Roman" w:hAnsi="Times New Roman" w:cs="Times New Roman"/>
          <w:szCs w:val="24"/>
          <w:lang w:val="fr-FR"/>
        </w:rPr>
        <w:fldChar w:fldCharType="end"/>
      </w:r>
      <w:r w:rsidRPr="00B94E33">
        <w:rPr>
          <w:rFonts w:ascii="Times New Roman" w:eastAsia="Times New Roman" w:hAnsi="Times New Roman" w:cs="Times New Roman"/>
          <w:szCs w:val="24"/>
          <w:lang w:val="fr-FR"/>
        </w:rPr>
        <w:t xml:space="preserve">.  La Cour </w:t>
      </w:r>
      <w:r w:rsidRPr="00B94E33">
        <w:rPr>
          <w:lang w:val="fr-FR"/>
        </w:rPr>
        <w:t xml:space="preserve">ne </w:t>
      </w:r>
      <w:r w:rsidR="001910E1" w:rsidRPr="00B94E33">
        <w:rPr>
          <w:lang w:val="fr-FR"/>
        </w:rPr>
        <w:t xml:space="preserve">saurait spéculer sur la tournure des évènements </w:t>
      </w:r>
      <w:r w:rsidRPr="00B94E33">
        <w:rPr>
          <w:lang w:val="fr-FR"/>
        </w:rPr>
        <w:t>si les autorités avaient ad</w:t>
      </w:r>
      <w:r w:rsidR="00F00089" w:rsidRPr="00B94E33">
        <w:rPr>
          <w:lang w:val="fr-FR"/>
        </w:rPr>
        <w:t>opté un comportement différent. Elle</w:t>
      </w:r>
      <w:r w:rsidRPr="00B94E33">
        <w:rPr>
          <w:lang w:val="fr-FR"/>
        </w:rPr>
        <w:t xml:space="preserve"> rappelle </w:t>
      </w:r>
      <w:r w:rsidR="00F00089" w:rsidRPr="00B94E33">
        <w:rPr>
          <w:lang w:val="fr-FR"/>
        </w:rPr>
        <w:t xml:space="preserve">toutefois </w:t>
      </w:r>
      <w:r w:rsidRPr="00B94E33">
        <w:rPr>
          <w:lang w:val="fr-FR"/>
        </w:rPr>
        <w:t>que l</w:t>
      </w:r>
      <w:r w:rsidR="00B94E33" w:rsidRPr="00B94E33">
        <w:rPr>
          <w:lang w:val="fr-FR"/>
        </w:rPr>
        <w:t>’</w:t>
      </w:r>
      <w:r w:rsidRPr="00B94E33">
        <w:rPr>
          <w:lang w:val="fr-FR"/>
        </w:rPr>
        <w:t>absence de mise en œuvre de mesures raisonnables qui auraient eu une chance réelle de changer le cours des événements ou d</w:t>
      </w:r>
      <w:r w:rsidR="00B94E33" w:rsidRPr="00B94E33">
        <w:rPr>
          <w:lang w:val="fr-FR"/>
        </w:rPr>
        <w:t>’</w:t>
      </w:r>
      <w:r w:rsidRPr="00B94E33">
        <w:rPr>
          <w:lang w:val="fr-FR"/>
        </w:rPr>
        <w:t>atténuer le préjudice causé suffit à engager la responsabilité de l</w:t>
      </w:r>
      <w:r w:rsidR="00B94E33" w:rsidRPr="00B94E33">
        <w:rPr>
          <w:lang w:val="fr-FR"/>
        </w:rPr>
        <w:t>’</w:t>
      </w:r>
      <w:r w:rsidRPr="00B94E33">
        <w:rPr>
          <w:lang w:val="fr-FR"/>
        </w:rPr>
        <w:t>Etat</w:t>
      </w:r>
      <w:r w:rsidRPr="00B94E33">
        <w:rPr>
          <w:b/>
          <w:lang w:val="fr-FR"/>
        </w:rPr>
        <w:t xml:space="preserve"> (</w:t>
      </w:r>
      <w:r w:rsidR="009A4363" w:rsidRPr="00B94E33">
        <w:rPr>
          <w:i/>
          <w:lang w:val="fr-FR"/>
        </w:rPr>
        <w:t>E. et autres c. Royaume</w:t>
      </w:r>
      <w:r w:rsidR="009A4363" w:rsidRPr="00B94E33">
        <w:rPr>
          <w:i/>
          <w:lang w:val="fr-FR"/>
        </w:rPr>
        <w:noBreakHyphen/>
      </w:r>
      <w:r w:rsidR="004613C6" w:rsidRPr="00B94E33">
        <w:rPr>
          <w:i/>
          <w:lang w:val="fr-FR"/>
        </w:rPr>
        <w:t>Uni</w:t>
      </w:r>
      <w:r w:rsidR="004613C6" w:rsidRPr="00B94E33">
        <w:rPr>
          <w:lang w:val="fr-FR"/>
        </w:rPr>
        <w:t>, n</w:t>
      </w:r>
      <w:r w:rsidR="009A4363" w:rsidRPr="00B94E33">
        <w:rPr>
          <w:vertAlign w:val="superscript"/>
          <w:lang w:val="fr-FR"/>
        </w:rPr>
        <w:t>o</w:t>
      </w:r>
      <w:r w:rsidR="004613C6" w:rsidRPr="00B94E33">
        <w:rPr>
          <w:lang w:val="fr-FR"/>
        </w:rPr>
        <w:t xml:space="preserve"> </w:t>
      </w:r>
      <w:hyperlink r:id="rId39" w:anchor="{&quot;appno&quot;:[&quot;33218/96&quot;]}" w:tgtFrame="_blank" w:history="1">
        <w:r w:rsidR="004613C6" w:rsidRPr="00B94E33">
          <w:rPr>
            <w:lang w:val="fr-FR"/>
          </w:rPr>
          <w:t>33218/96</w:t>
        </w:r>
      </w:hyperlink>
      <w:r w:rsidR="004613C6" w:rsidRPr="00B94E33">
        <w:rPr>
          <w:lang w:val="fr-FR"/>
        </w:rPr>
        <w:t xml:space="preserve">, § 99 26 novembre 2002 ; </w:t>
      </w:r>
      <w:r w:rsidR="004613C6" w:rsidRPr="00B94E33">
        <w:rPr>
          <w:i/>
          <w:snapToGrid w:val="0"/>
          <w:lang w:val="fr-FR"/>
        </w:rPr>
        <w:t>Opuz,</w:t>
      </w:r>
      <w:r w:rsidR="004613C6" w:rsidRPr="00B94E33">
        <w:rPr>
          <w:snapToGrid w:val="0"/>
          <w:lang w:val="fr-FR"/>
        </w:rPr>
        <w:t xml:space="preserve"> précité § 136; </w:t>
      </w:r>
      <w:r w:rsidR="001E7D19" w:rsidRPr="00B94E33">
        <w:rPr>
          <w:i/>
          <w:lang w:val="fr-FR"/>
        </w:rPr>
        <w:t>Bljakaj et autres</w:t>
      </w:r>
      <w:r w:rsidR="001E7D19" w:rsidRPr="00B94E33">
        <w:rPr>
          <w:i/>
          <w:snapToGrid w:val="0"/>
          <w:lang w:val="fr-FR"/>
        </w:rPr>
        <w:t xml:space="preserve"> </w:t>
      </w:r>
      <w:r w:rsidR="001E7D19" w:rsidRPr="00B94E33">
        <w:rPr>
          <w:i/>
          <w:lang w:val="fr-FR"/>
        </w:rPr>
        <w:t>c. Croatie</w:t>
      </w:r>
      <w:r w:rsidR="001E7D19" w:rsidRPr="00B94E33">
        <w:rPr>
          <w:snapToGrid w:val="0"/>
          <w:lang w:val="fr-FR"/>
        </w:rPr>
        <w:t xml:space="preserve">, </w:t>
      </w:r>
      <w:r w:rsidR="001E7D19" w:rsidRPr="00B94E33">
        <w:rPr>
          <w:lang w:val="fr-FR"/>
        </w:rPr>
        <w:t>n</w:t>
      </w:r>
      <w:r w:rsidR="001E7D19" w:rsidRPr="00B94E33">
        <w:rPr>
          <w:vertAlign w:val="superscript"/>
          <w:lang w:val="fr-FR"/>
        </w:rPr>
        <w:t>o</w:t>
      </w:r>
      <w:r w:rsidR="001E7D19" w:rsidRPr="00B94E33">
        <w:rPr>
          <w:lang w:val="fr-FR"/>
        </w:rPr>
        <w:t xml:space="preserve"> 74448/12</w:t>
      </w:r>
      <w:r w:rsidR="001E7D19" w:rsidRPr="00B94E33">
        <w:rPr>
          <w:snapToGrid w:val="0"/>
          <w:lang w:val="fr-FR"/>
        </w:rPr>
        <w:t>, § 124</w:t>
      </w:r>
      <w:r w:rsidR="001910E1" w:rsidRPr="00B94E33">
        <w:rPr>
          <w:snapToGrid w:val="0"/>
          <w:lang w:val="fr-FR"/>
        </w:rPr>
        <w:t>,</w:t>
      </w:r>
      <w:r w:rsidR="001E7D19" w:rsidRPr="00B94E33">
        <w:rPr>
          <w:snapToGrid w:val="0"/>
          <w:lang w:val="fr-FR"/>
        </w:rPr>
        <w:t xml:space="preserve"> 18 </w:t>
      </w:r>
      <w:r w:rsidR="001E7D19" w:rsidRPr="00B94E33">
        <w:rPr>
          <w:lang w:val="fr-FR"/>
        </w:rPr>
        <w:t>septembre</w:t>
      </w:r>
      <w:r w:rsidR="004613C6" w:rsidRPr="00B94E33">
        <w:rPr>
          <w:snapToGrid w:val="0"/>
          <w:lang w:val="fr-FR"/>
        </w:rPr>
        <w:t xml:space="preserve"> 2014</w:t>
      </w:r>
      <w:r w:rsidRPr="00B94E33">
        <w:rPr>
          <w:b/>
          <w:lang w:val="fr-FR"/>
        </w:rPr>
        <w:t>).</w:t>
      </w:r>
    </w:p>
    <w:p w:rsidR="00D67B9E" w:rsidRPr="00B94E33" w:rsidRDefault="00D44C0C" w:rsidP="00B94E33">
      <w:pPr>
        <w:pStyle w:val="ECHRPara"/>
        <w:rPr>
          <w:rFonts w:cs="Times New Roman"/>
          <w:bCs/>
          <w:color w:val="000000"/>
          <w:szCs w:val="24"/>
          <w:lang w:val="fr-FR"/>
        </w:rPr>
      </w:pPr>
      <w:r w:rsidRPr="00B94E33">
        <w:rPr>
          <w:rFonts w:ascii="Times New Roman" w:eastAsia="Times New Roman" w:hAnsi="Times New Roman" w:cs="Times New Roman"/>
          <w:szCs w:val="24"/>
          <w:lang w:val="fr-FR"/>
        </w:rPr>
        <w:fldChar w:fldCharType="begin"/>
      </w:r>
      <w:r w:rsidRPr="00B94E33">
        <w:rPr>
          <w:rFonts w:ascii="Times New Roman" w:eastAsia="Times New Roman" w:hAnsi="Times New Roman" w:cs="Times New Roman"/>
          <w:szCs w:val="24"/>
          <w:lang w:val="fr-FR"/>
        </w:rPr>
        <w:instrText xml:space="preserve"> SEQ level0 \*arabic </w:instrText>
      </w:r>
      <w:r w:rsidRPr="00B94E33">
        <w:rPr>
          <w:rFonts w:ascii="Times New Roman" w:eastAsia="Times New Roman" w:hAnsi="Times New Roman" w:cs="Times New Roman"/>
          <w:szCs w:val="24"/>
          <w:lang w:val="fr-FR"/>
        </w:rPr>
        <w:fldChar w:fldCharType="separate"/>
      </w:r>
      <w:r w:rsidR="00B94E33" w:rsidRPr="00B94E33">
        <w:rPr>
          <w:rFonts w:ascii="Times New Roman" w:eastAsia="Times New Roman" w:hAnsi="Times New Roman" w:cs="Times New Roman"/>
          <w:noProof/>
          <w:szCs w:val="24"/>
          <w:lang w:val="fr-FR"/>
        </w:rPr>
        <w:t>122</w:t>
      </w:r>
      <w:r w:rsidRPr="00B94E33">
        <w:rPr>
          <w:rFonts w:ascii="Times New Roman" w:eastAsia="Times New Roman" w:hAnsi="Times New Roman" w:cs="Times New Roman"/>
          <w:szCs w:val="24"/>
          <w:lang w:val="fr-FR"/>
        </w:rPr>
        <w:fldChar w:fldCharType="end"/>
      </w:r>
      <w:r w:rsidRPr="00B94E33">
        <w:rPr>
          <w:rFonts w:ascii="Times New Roman" w:eastAsia="Times New Roman" w:hAnsi="Times New Roman" w:cs="Times New Roman"/>
          <w:szCs w:val="24"/>
          <w:lang w:val="fr-FR"/>
        </w:rPr>
        <w:t>.  </w:t>
      </w:r>
      <w:r w:rsidR="001910E1" w:rsidRPr="00B94E33">
        <w:rPr>
          <w:rFonts w:ascii="Times New Roman" w:eastAsia="Times New Roman" w:hAnsi="Times New Roman" w:cs="Times New Roman"/>
          <w:szCs w:val="24"/>
          <w:lang w:val="fr-FR"/>
        </w:rPr>
        <w:t xml:space="preserve">Aux yeux de la </w:t>
      </w:r>
      <w:r w:rsidR="002E129B" w:rsidRPr="00B94E33">
        <w:rPr>
          <w:rFonts w:ascii="Times New Roman" w:eastAsia="Times New Roman" w:hAnsi="Times New Roman" w:cs="Times New Roman"/>
          <w:szCs w:val="24"/>
          <w:lang w:val="fr-FR"/>
        </w:rPr>
        <w:t>C</w:t>
      </w:r>
      <w:r w:rsidRPr="00B94E33">
        <w:rPr>
          <w:rFonts w:ascii="Times New Roman" w:eastAsia="Times New Roman" w:hAnsi="Times New Roman" w:cs="Times New Roman"/>
          <w:szCs w:val="24"/>
          <w:lang w:val="fr-FR"/>
        </w:rPr>
        <w:t>our</w:t>
      </w:r>
      <w:r w:rsidR="001910E1"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 xml:space="preserve"> </w:t>
      </w:r>
      <w:r w:rsidR="001910E1" w:rsidRPr="00B94E33">
        <w:rPr>
          <w:rFonts w:ascii="Times New Roman" w:eastAsia="Times New Roman" w:hAnsi="Times New Roman" w:cs="Times New Roman"/>
          <w:szCs w:val="24"/>
          <w:lang w:val="fr-FR"/>
        </w:rPr>
        <w:t>l</w:t>
      </w:r>
      <w:r w:rsidR="003E3165" w:rsidRPr="00B94E33">
        <w:rPr>
          <w:rFonts w:ascii="Times New Roman" w:eastAsia="Times New Roman" w:hAnsi="Times New Roman" w:cs="Times New Roman"/>
          <w:szCs w:val="24"/>
          <w:lang w:val="fr-FR"/>
        </w:rPr>
        <w:t xml:space="preserve">e </w:t>
      </w:r>
      <w:r w:rsidR="002E129B" w:rsidRPr="00B94E33">
        <w:rPr>
          <w:rFonts w:ascii="Times New Roman" w:eastAsia="Times New Roman" w:hAnsi="Times New Roman" w:cs="Times New Roman"/>
          <w:szCs w:val="24"/>
          <w:lang w:val="fr-FR"/>
        </w:rPr>
        <w:t xml:space="preserve">risque </w:t>
      </w:r>
      <w:r w:rsidR="001B1D8F" w:rsidRPr="00B94E33">
        <w:rPr>
          <w:rFonts w:ascii="Times New Roman" w:eastAsia="Times New Roman" w:hAnsi="Times New Roman" w:cs="Times New Roman"/>
          <w:szCs w:val="24"/>
          <w:lang w:val="fr-FR"/>
        </w:rPr>
        <w:t>d</w:t>
      </w:r>
      <w:r w:rsidR="00B94E33" w:rsidRPr="00B94E33">
        <w:rPr>
          <w:rFonts w:ascii="Times New Roman" w:eastAsia="Times New Roman" w:hAnsi="Times New Roman" w:cs="Times New Roman"/>
          <w:szCs w:val="24"/>
          <w:lang w:val="fr-FR"/>
        </w:rPr>
        <w:t>’</w:t>
      </w:r>
      <w:r w:rsidR="001B1D8F" w:rsidRPr="00B94E33">
        <w:rPr>
          <w:rFonts w:ascii="Times New Roman" w:eastAsia="Times New Roman" w:hAnsi="Times New Roman" w:cs="Times New Roman"/>
          <w:szCs w:val="24"/>
          <w:lang w:val="fr-FR"/>
        </w:rPr>
        <w:t>une menace réelle et immédiate</w:t>
      </w:r>
      <w:r w:rsidR="001E3BAC" w:rsidRPr="00B94E33">
        <w:rPr>
          <w:rFonts w:ascii="Times New Roman" w:eastAsia="Times New Roman" w:hAnsi="Times New Roman" w:cs="Times New Roman"/>
          <w:szCs w:val="24"/>
          <w:lang w:val="fr-FR"/>
        </w:rPr>
        <w:t xml:space="preserve"> </w:t>
      </w:r>
      <w:r w:rsidR="001910E1" w:rsidRPr="00B94E33">
        <w:rPr>
          <w:rFonts w:ascii="Times New Roman" w:eastAsia="Times New Roman" w:hAnsi="Times New Roman" w:cs="Times New Roman"/>
          <w:szCs w:val="24"/>
          <w:lang w:val="fr-FR"/>
        </w:rPr>
        <w:t xml:space="preserve">(voir le paragraphe 99 ci-dessus) </w:t>
      </w:r>
      <w:r w:rsidR="001E3BAC" w:rsidRPr="00B94E33">
        <w:rPr>
          <w:rFonts w:ascii="Times New Roman" w:eastAsia="Times New Roman" w:hAnsi="Times New Roman" w:cs="Times New Roman"/>
          <w:szCs w:val="24"/>
          <w:lang w:val="fr-FR"/>
        </w:rPr>
        <w:t xml:space="preserve">doit être </w:t>
      </w:r>
      <w:r w:rsidR="000D1560" w:rsidRPr="00B94E33">
        <w:rPr>
          <w:rFonts w:ascii="Times New Roman" w:eastAsia="Times New Roman" w:hAnsi="Times New Roman" w:cs="Times New Roman"/>
          <w:szCs w:val="24"/>
          <w:lang w:val="fr-FR"/>
        </w:rPr>
        <w:t>évalué</w:t>
      </w:r>
      <w:r w:rsidR="002F3EA4" w:rsidRPr="00B94E33">
        <w:rPr>
          <w:rFonts w:ascii="Times New Roman" w:eastAsia="Times New Roman" w:hAnsi="Times New Roman" w:cs="Times New Roman"/>
          <w:szCs w:val="24"/>
          <w:lang w:val="fr-FR"/>
        </w:rPr>
        <w:t xml:space="preserve"> </w:t>
      </w:r>
      <w:r w:rsidR="001E3BAC" w:rsidRPr="00B94E33">
        <w:rPr>
          <w:rFonts w:ascii="Times New Roman" w:eastAsia="Times New Roman" w:hAnsi="Times New Roman" w:cs="Times New Roman"/>
          <w:szCs w:val="24"/>
          <w:lang w:val="fr-FR"/>
        </w:rPr>
        <w:t xml:space="preserve">en </w:t>
      </w:r>
      <w:r w:rsidR="003324AC" w:rsidRPr="00B94E33">
        <w:rPr>
          <w:rFonts w:ascii="Times New Roman" w:eastAsia="Times New Roman" w:hAnsi="Times New Roman" w:cs="Times New Roman"/>
          <w:szCs w:val="24"/>
          <w:lang w:val="fr-FR"/>
        </w:rPr>
        <w:t>prenant</w:t>
      </w:r>
      <w:r w:rsidR="001E3BAC" w:rsidRPr="00B94E33">
        <w:rPr>
          <w:rFonts w:ascii="Times New Roman" w:eastAsia="Times New Roman" w:hAnsi="Times New Roman" w:cs="Times New Roman"/>
          <w:szCs w:val="24"/>
          <w:lang w:val="fr-FR"/>
        </w:rPr>
        <w:t xml:space="preserve"> </w:t>
      </w:r>
      <w:r w:rsidR="001910E1" w:rsidRPr="00B94E33">
        <w:rPr>
          <w:rFonts w:ascii="Times New Roman" w:eastAsia="Times New Roman" w:hAnsi="Times New Roman" w:cs="Times New Roman"/>
          <w:szCs w:val="24"/>
          <w:lang w:val="fr-FR"/>
        </w:rPr>
        <w:t xml:space="preserve">dûment </w:t>
      </w:r>
      <w:r w:rsidR="001E3BAC" w:rsidRPr="00B94E33">
        <w:rPr>
          <w:rFonts w:ascii="Times New Roman" w:eastAsia="Times New Roman" w:hAnsi="Times New Roman" w:cs="Times New Roman"/>
          <w:szCs w:val="24"/>
          <w:lang w:val="fr-FR"/>
        </w:rPr>
        <w:t xml:space="preserve">en compte </w:t>
      </w:r>
      <w:r w:rsidR="003324AC" w:rsidRPr="00B94E33">
        <w:rPr>
          <w:rFonts w:ascii="Times New Roman" w:eastAsia="Times New Roman" w:hAnsi="Times New Roman" w:cs="Times New Roman"/>
          <w:szCs w:val="24"/>
          <w:lang w:val="fr-FR"/>
        </w:rPr>
        <w:t>le</w:t>
      </w:r>
      <w:r w:rsidR="001E3BAC" w:rsidRPr="00B94E33">
        <w:rPr>
          <w:rFonts w:ascii="Times New Roman" w:eastAsia="Times New Roman" w:hAnsi="Times New Roman" w:cs="Times New Roman"/>
          <w:szCs w:val="24"/>
          <w:lang w:val="fr-FR"/>
        </w:rPr>
        <w:t xml:space="preserve"> </w:t>
      </w:r>
      <w:r w:rsidR="002F3EA4" w:rsidRPr="00B94E33">
        <w:rPr>
          <w:rFonts w:ascii="Times New Roman" w:eastAsia="Times New Roman" w:hAnsi="Times New Roman" w:cs="Times New Roman"/>
          <w:szCs w:val="24"/>
          <w:lang w:val="fr-FR"/>
        </w:rPr>
        <w:t>contexte</w:t>
      </w:r>
      <w:r w:rsidR="001E3BAC" w:rsidRPr="00B94E33">
        <w:rPr>
          <w:rFonts w:ascii="Times New Roman" w:eastAsia="Times New Roman" w:hAnsi="Times New Roman" w:cs="Times New Roman"/>
          <w:szCs w:val="24"/>
          <w:lang w:val="fr-FR"/>
        </w:rPr>
        <w:t xml:space="preserve"> particulier des violences </w:t>
      </w:r>
      <w:r w:rsidR="002F3EA4" w:rsidRPr="00B94E33">
        <w:rPr>
          <w:rFonts w:ascii="Times New Roman" w:eastAsia="Times New Roman" w:hAnsi="Times New Roman" w:cs="Times New Roman"/>
          <w:szCs w:val="24"/>
          <w:lang w:val="fr-FR"/>
        </w:rPr>
        <w:t>domestique</w:t>
      </w:r>
      <w:r w:rsidR="001910E1" w:rsidRPr="00B94E33">
        <w:rPr>
          <w:rFonts w:ascii="Times New Roman" w:eastAsia="Times New Roman" w:hAnsi="Times New Roman" w:cs="Times New Roman"/>
          <w:szCs w:val="24"/>
          <w:lang w:val="fr-FR"/>
        </w:rPr>
        <w:t>s.</w:t>
      </w:r>
      <w:r w:rsidR="00375782" w:rsidRPr="00B94E33">
        <w:rPr>
          <w:rFonts w:ascii="Times New Roman" w:eastAsia="Times New Roman" w:hAnsi="Times New Roman" w:cs="Times New Roman"/>
          <w:szCs w:val="24"/>
          <w:lang w:val="fr-FR"/>
        </w:rPr>
        <w:t xml:space="preserve"> </w:t>
      </w:r>
      <w:r w:rsidR="001910E1" w:rsidRPr="00B94E33">
        <w:rPr>
          <w:rFonts w:ascii="Times New Roman" w:eastAsia="Times New Roman" w:hAnsi="Times New Roman" w:cs="Times New Roman"/>
          <w:szCs w:val="24"/>
          <w:lang w:val="fr-FR"/>
        </w:rPr>
        <w:t>Il s</w:t>
      </w:r>
      <w:r w:rsidR="00B94E33" w:rsidRPr="00B94E33">
        <w:rPr>
          <w:rFonts w:ascii="Times New Roman" w:eastAsia="Times New Roman" w:hAnsi="Times New Roman" w:cs="Times New Roman"/>
          <w:szCs w:val="24"/>
          <w:lang w:val="fr-FR"/>
        </w:rPr>
        <w:t>’</w:t>
      </w:r>
      <w:r w:rsidR="001910E1" w:rsidRPr="00B94E33">
        <w:rPr>
          <w:rFonts w:ascii="Times New Roman" w:eastAsia="Times New Roman" w:hAnsi="Times New Roman" w:cs="Times New Roman"/>
          <w:szCs w:val="24"/>
          <w:lang w:val="fr-FR"/>
        </w:rPr>
        <w:t xml:space="preserve">agit dans de telles situations non seulement </w:t>
      </w:r>
      <w:r w:rsidR="00C35870" w:rsidRPr="00B94E33">
        <w:rPr>
          <w:lang w:val="fr-FR"/>
        </w:rPr>
        <w:t>d</w:t>
      </w:r>
      <w:r w:rsidR="00B94E33" w:rsidRPr="00B94E33">
        <w:rPr>
          <w:lang w:val="fr-FR"/>
        </w:rPr>
        <w:t>’</w:t>
      </w:r>
      <w:r w:rsidR="00C35870" w:rsidRPr="00B94E33">
        <w:rPr>
          <w:lang w:val="fr-FR"/>
        </w:rPr>
        <w:t>une obligation d</w:t>
      </w:r>
      <w:r w:rsidR="00B94E33" w:rsidRPr="00B94E33">
        <w:rPr>
          <w:lang w:val="fr-FR"/>
        </w:rPr>
        <w:t>’</w:t>
      </w:r>
      <w:r w:rsidR="00C35870" w:rsidRPr="00B94E33">
        <w:rPr>
          <w:lang w:val="fr-FR"/>
        </w:rPr>
        <w:t>assurer une protection générale de la société</w:t>
      </w:r>
      <w:r w:rsidR="001E7D19" w:rsidRPr="00B94E33">
        <w:rPr>
          <w:lang w:val="fr-FR"/>
        </w:rPr>
        <w:t xml:space="preserve"> (</w:t>
      </w:r>
      <w:r w:rsidR="00323E45" w:rsidRPr="00B94E33">
        <w:rPr>
          <w:i/>
          <w:lang w:val="fr-FR"/>
        </w:rPr>
        <w:t xml:space="preserve">Mastromatteo c. Italie </w:t>
      </w:r>
      <w:r w:rsidR="00323E45" w:rsidRPr="00B94E33">
        <w:rPr>
          <w:lang w:val="fr-FR"/>
        </w:rPr>
        <w:t>[GC], n</w:t>
      </w:r>
      <w:r w:rsidR="00323E45" w:rsidRPr="00B94E33">
        <w:rPr>
          <w:vertAlign w:val="superscript"/>
          <w:lang w:val="fr-FR"/>
        </w:rPr>
        <w:t>o</w:t>
      </w:r>
      <w:r w:rsidR="00323E45" w:rsidRPr="00B94E33">
        <w:rPr>
          <w:lang w:val="fr-FR"/>
        </w:rPr>
        <w:t xml:space="preserve"> 37703/97, § 69, CEDH 2002</w:t>
      </w:r>
      <w:r w:rsidR="00323E45" w:rsidRPr="00B94E33">
        <w:rPr>
          <w:lang w:val="fr-FR"/>
        </w:rPr>
        <w:noBreakHyphen/>
        <w:t xml:space="preserve">VIII ; </w:t>
      </w:r>
      <w:r w:rsidR="00323E45" w:rsidRPr="00B94E33">
        <w:rPr>
          <w:i/>
          <w:lang w:val="fr-FR"/>
        </w:rPr>
        <w:t>Maiorano et autres c. Italie</w:t>
      </w:r>
      <w:r w:rsidR="00323E45" w:rsidRPr="00B94E33">
        <w:rPr>
          <w:lang w:val="fr-FR"/>
        </w:rPr>
        <w:t>, n</w:t>
      </w:r>
      <w:r w:rsidR="00323E45" w:rsidRPr="00B94E33">
        <w:rPr>
          <w:vertAlign w:val="superscript"/>
          <w:lang w:val="fr-FR"/>
        </w:rPr>
        <w:t>o</w:t>
      </w:r>
      <w:r w:rsidR="00323E45" w:rsidRPr="00B94E33">
        <w:rPr>
          <w:lang w:val="fr-FR"/>
        </w:rPr>
        <w:t xml:space="preserve"> 28634/06</w:t>
      </w:r>
      <w:r w:rsidR="00323E45" w:rsidRPr="00B94E33">
        <w:rPr>
          <w:snapToGrid w:val="0"/>
          <w:lang w:val="fr-FR"/>
        </w:rPr>
        <w:t>, § 111 15</w:t>
      </w:r>
      <w:r w:rsidR="004B08DB" w:rsidRPr="00B94E33">
        <w:rPr>
          <w:snapToGrid w:val="0"/>
          <w:lang w:val="fr-FR"/>
        </w:rPr>
        <w:t> </w:t>
      </w:r>
      <w:r w:rsidR="00323E45" w:rsidRPr="00B94E33">
        <w:rPr>
          <w:lang w:val="fr-FR"/>
        </w:rPr>
        <w:t>décembre</w:t>
      </w:r>
      <w:r w:rsidR="00323E45" w:rsidRPr="00B94E33">
        <w:rPr>
          <w:snapToGrid w:val="0"/>
          <w:lang w:val="fr-FR"/>
        </w:rPr>
        <w:t xml:space="preserve"> 2009 ; </w:t>
      </w:r>
      <w:r w:rsidR="00323E45" w:rsidRPr="00B94E33">
        <w:rPr>
          <w:lang w:val="fr-FR"/>
        </w:rPr>
        <w:t xml:space="preserve">and </w:t>
      </w:r>
      <w:r w:rsidR="00323E45" w:rsidRPr="00B94E33">
        <w:rPr>
          <w:i/>
          <w:lang w:val="fr-FR"/>
        </w:rPr>
        <w:t>Choreftakis et Choreftaki c. Grèce</w:t>
      </w:r>
      <w:r w:rsidR="00323E45" w:rsidRPr="00B94E33">
        <w:rPr>
          <w:lang w:val="fr-FR"/>
        </w:rPr>
        <w:t>, n</w:t>
      </w:r>
      <w:r w:rsidR="00323E45" w:rsidRPr="00B94E33">
        <w:rPr>
          <w:vertAlign w:val="superscript"/>
          <w:lang w:val="fr-FR"/>
        </w:rPr>
        <w:t>o</w:t>
      </w:r>
      <w:r w:rsidR="00323E45" w:rsidRPr="00B94E33">
        <w:rPr>
          <w:lang w:val="fr-FR"/>
        </w:rPr>
        <w:t xml:space="preserve"> 46846/08</w:t>
      </w:r>
      <w:r w:rsidR="00323E45" w:rsidRPr="00B94E33">
        <w:rPr>
          <w:snapToGrid w:val="0"/>
          <w:szCs w:val="24"/>
          <w:lang w:val="fr-FR"/>
        </w:rPr>
        <w:t>, §</w:t>
      </w:r>
      <w:r w:rsidR="004B08DB" w:rsidRPr="00B94E33">
        <w:rPr>
          <w:snapToGrid w:val="0"/>
          <w:szCs w:val="24"/>
          <w:lang w:val="fr-FR"/>
        </w:rPr>
        <w:t> </w:t>
      </w:r>
      <w:r w:rsidR="00323E45" w:rsidRPr="00B94E33">
        <w:rPr>
          <w:snapToGrid w:val="0"/>
          <w:szCs w:val="24"/>
          <w:lang w:val="fr-FR"/>
        </w:rPr>
        <w:t xml:space="preserve">50, 17 </w:t>
      </w:r>
      <w:r w:rsidR="00323E45" w:rsidRPr="00B94E33">
        <w:rPr>
          <w:szCs w:val="24"/>
          <w:lang w:val="fr-FR"/>
        </w:rPr>
        <w:t>janvier</w:t>
      </w:r>
      <w:r w:rsidR="00323E45" w:rsidRPr="00B94E33">
        <w:rPr>
          <w:snapToGrid w:val="0"/>
          <w:szCs w:val="24"/>
          <w:lang w:val="fr-FR"/>
        </w:rPr>
        <w:t xml:space="preserve"> 2012 ; </w:t>
      </w:r>
      <w:r w:rsidR="00CA3759" w:rsidRPr="00B94E33">
        <w:rPr>
          <w:i/>
          <w:lang w:val="fr-FR"/>
        </w:rPr>
        <w:t>Bljakaj</w:t>
      </w:r>
      <w:r w:rsidR="00323E45" w:rsidRPr="00B94E33">
        <w:rPr>
          <w:i/>
          <w:lang w:val="fr-FR"/>
        </w:rPr>
        <w:t xml:space="preserve">, </w:t>
      </w:r>
      <w:r w:rsidR="00323E45" w:rsidRPr="00B94E33">
        <w:rPr>
          <w:lang w:val="fr-FR"/>
        </w:rPr>
        <w:t>précité §</w:t>
      </w:r>
      <w:r w:rsidR="00323E45" w:rsidRPr="00B94E33">
        <w:rPr>
          <w:i/>
          <w:lang w:val="fr-FR"/>
        </w:rPr>
        <w:t xml:space="preserve"> </w:t>
      </w:r>
      <w:r w:rsidR="00323E45" w:rsidRPr="00B94E33">
        <w:rPr>
          <w:lang w:val="fr-FR"/>
        </w:rPr>
        <w:t>121)</w:t>
      </w:r>
      <w:r w:rsidR="001910E1" w:rsidRPr="00B94E33">
        <w:rPr>
          <w:lang w:val="fr-FR"/>
        </w:rPr>
        <w:t xml:space="preserve"> mais surtout de tenir compte </w:t>
      </w:r>
      <w:r w:rsidR="001910E1" w:rsidRPr="00B94E33">
        <w:rPr>
          <w:lang w:val="fr-FR"/>
        </w:rPr>
        <w:lastRenderedPageBreak/>
        <w:t>du fait que des épisodes successifs de violence se réitèrent dans le temps au sein de la cellule familiale</w:t>
      </w:r>
      <w:r w:rsidR="00323E45" w:rsidRPr="00B94E33">
        <w:rPr>
          <w:i/>
          <w:lang w:val="fr-FR"/>
        </w:rPr>
        <w:t>.</w:t>
      </w:r>
      <w:r w:rsidR="00D20870" w:rsidRPr="00B94E33">
        <w:rPr>
          <w:rFonts w:cs="Times New Roman"/>
          <w:bCs/>
          <w:color w:val="000000"/>
          <w:sz w:val="28"/>
          <w:szCs w:val="28"/>
          <w:lang w:val="fr-FR"/>
        </w:rPr>
        <w:t xml:space="preserve"> </w:t>
      </w:r>
      <w:r w:rsidR="00D67B9E" w:rsidRPr="00B94E33">
        <w:rPr>
          <w:rFonts w:cs="Times New Roman"/>
          <w:bCs/>
          <w:color w:val="000000"/>
          <w:szCs w:val="24"/>
          <w:lang w:val="fr-FR"/>
        </w:rPr>
        <w:t xml:space="preserve">Dans </w:t>
      </w:r>
      <w:r w:rsidR="000D5A91" w:rsidRPr="00B94E33">
        <w:rPr>
          <w:rFonts w:cs="Times New Roman"/>
          <w:bCs/>
          <w:color w:val="000000"/>
          <w:szCs w:val="24"/>
          <w:lang w:val="fr-FR"/>
        </w:rPr>
        <w:t>ce contexte</w:t>
      </w:r>
      <w:r w:rsidR="00D67B9E" w:rsidRPr="00B94E33">
        <w:rPr>
          <w:rFonts w:cs="Times New Roman"/>
          <w:bCs/>
          <w:color w:val="000000"/>
          <w:szCs w:val="24"/>
          <w:lang w:val="fr-FR"/>
        </w:rPr>
        <w:t xml:space="preserve">, </w:t>
      </w:r>
      <w:r w:rsidR="000D5A91" w:rsidRPr="00B94E33">
        <w:rPr>
          <w:rFonts w:cs="Times New Roman"/>
          <w:bCs/>
          <w:color w:val="000000"/>
          <w:szCs w:val="24"/>
          <w:lang w:val="fr-FR"/>
        </w:rPr>
        <w:t>la Cour réitère que l</w:t>
      </w:r>
      <w:r w:rsidR="00D67B9E" w:rsidRPr="00B94E33">
        <w:rPr>
          <w:rFonts w:cs="Times New Roman"/>
          <w:bCs/>
          <w:color w:val="000000"/>
          <w:szCs w:val="24"/>
          <w:lang w:val="fr-FR"/>
        </w:rPr>
        <w:t>es forces de l</w:t>
      </w:r>
      <w:r w:rsidR="00B94E33" w:rsidRPr="00B94E33">
        <w:rPr>
          <w:rFonts w:cs="Times New Roman"/>
          <w:bCs/>
          <w:color w:val="000000"/>
          <w:szCs w:val="24"/>
          <w:lang w:val="fr-FR"/>
        </w:rPr>
        <w:t>’</w:t>
      </w:r>
      <w:r w:rsidR="00D67B9E" w:rsidRPr="00B94E33">
        <w:rPr>
          <w:rFonts w:cs="Times New Roman"/>
          <w:bCs/>
          <w:color w:val="000000"/>
          <w:szCs w:val="24"/>
          <w:lang w:val="fr-FR"/>
        </w:rPr>
        <w:t xml:space="preserve">ordre </w:t>
      </w:r>
      <w:r w:rsidR="000D5A91" w:rsidRPr="00B94E33">
        <w:rPr>
          <w:rFonts w:cs="Times New Roman"/>
          <w:bCs/>
          <w:color w:val="000000"/>
          <w:szCs w:val="24"/>
          <w:lang w:val="fr-FR"/>
        </w:rPr>
        <w:t xml:space="preserve">ont eu à intervenir à deux reprises </w:t>
      </w:r>
      <w:r w:rsidR="00D67B9E" w:rsidRPr="00B94E33">
        <w:rPr>
          <w:rFonts w:cs="Times New Roman"/>
          <w:bCs/>
          <w:color w:val="000000"/>
          <w:szCs w:val="24"/>
          <w:lang w:val="fr-FR"/>
        </w:rPr>
        <w:t>la nuit du 25 novembre 2013</w:t>
      </w:r>
      <w:r w:rsidR="000D5A91" w:rsidRPr="00B94E33">
        <w:rPr>
          <w:rFonts w:cs="Times New Roman"/>
          <w:bCs/>
          <w:color w:val="000000"/>
          <w:szCs w:val="24"/>
          <w:lang w:val="fr-FR"/>
        </w:rPr>
        <w:t xml:space="preserve"> : elles ont </w:t>
      </w:r>
      <w:r w:rsidR="00D20870" w:rsidRPr="00B94E33">
        <w:rPr>
          <w:rFonts w:cs="Times New Roman"/>
          <w:bCs/>
          <w:color w:val="000000"/>
          <w:szCs w:val="24"/>
          <w:lang w:val="fr-FR"/>
        </w:rPr>
        <w:t>d</w:t>
      </w:r>
      <w:r w:rsidR="00B94E33" w:rsidRPr="00B94E33">
        <w:rPr>
          <w:rFonts w:cs="Times New Roman"/>
          <w:bCs/>
          <w:color w:val="000000"/>
          <w:szCs w:val="24"/>
          <w:lang w:val="fr-FR"/>
        </w:rPr>
        <w:t>’</w:t>
      </w:r>
      <w:r w:rsidR="00D20870" w:rsidRPr="00B94E33">
        <w:rPr>
          <w:rFonts w:cs="Times New Roman"/>
          <w:bCs/>
          <w:color w:val="000000"/>
          <w:szCs w:val="24"/>
          <w:lang w:val="fr-FR"/>
        </w:rPr>
        <w:t xml:space="preserve">abord </w:t>
      </w:r>
      <w:r w:rsidR="00D67B9E" w:rsidRPr="00B94E33">
        <w:rPr>
          <w:rFonts w:cs="Times New Roman"/>
          <w:bCs/>
          <w:color w:val="000000"/>
          <w:szCs w:val="24"/>
          <w:lang w:val="fr-FR"/>
        </w:rPr>
        <w:t xml:space="preserve">constaté </w:t>
      </w:r>
      <w:r w:rsidR="000D5A91" w:rsidRPr="00B94E33">
        <w:rPr>
          <w:rFonts w:cs="Times New Roman"/>
          <w:bCs/>
          <w:color w:val="000000"/>
          <w:szCs w:val="24"/>
          <w:lang w:val="fr-FR"/>
        </w:rPr>
        <w:t xml:space="preserve">comment </w:t>
      </w:r>
      <w:r w:rsidR="00D67B9E" w:rsidRPr="00B94E33">
        <w:rPr>
          <w:rFonts w:cs="Times New Roman"/>
          <w:bCs/>
          <w:color w:val="000000"/>
          <w:szCs w:val="24"/>
          <w:lang w:val="fr-FR"/>
        </w:rPr>
        <w:t>l</w:t>
      </w:r>
      <w:r w:rsidR="00B94E33" w:rsidRPr="00B94E33">
        <w:rPr>
          <w:rFonts w:cs="Times New Roman"/>
          <w:bCs/>
          <w:color w:val="000000"/>
          <w:szCs w:val="24"/>
          <w:lang w:val="fr-FR"/>
        </w:rPr>
        <w:t>’</w:t>
      </w:r>
      <w:r w:rsidR="00D67B9E" w:rsidRPr="00B94E33">
        <w:rPr>
          <w:rFonts w:cs="Times New Roman"/>
          <w:bCs/>
          <w:color w:val="000000"/>
          <w:szCs w:val="24"/>
          <w:lang w:val="fr-FR"/>
        </w:rPr>
        <w:t xml:space="preserve">appartement </w:t>
      </w:r>
      <w:r w:rsidR="000D5A91" w:rsidRPr="00B94E33">
        <w:rPr>
          <w:rFonts w:cs="Times New Roman"/>
          <w:bCs/>
          <w:color w:val="000000"/>
          <w:szCs w:val="24"/>
          <w:lang w:val="fr-FR"/>
        </w:rPr>
        <w:t xml:space="preserve">était ravagé </w:t>
      </w:r>
      <w:r w:rsidR="00D67B9E" w:rsidRPr="00B94E33">
        <w:rPr>
          <w:rFonts w:cs="Times New Roman"/>
          <w:bCs/>
          <w:color w:val="000000"/>
          <w:szCs w:val="24"/>
          <w:lang w:val="fr-FR"/>
        </w:rPr>
        <w:t xml:space="preserve">et </w:t>
      </w:r>
      <w:r w:rsidR="00D20870" w:rsidRPr="00B94E33">
        <w:rPr>
          <w:rFonts w:cs="Times New Roman"/>
          <w:bCs/>
          <w:color w:val="000000"/>
          <w:szCs w:val="24"/>
          <w:lang w:val="fr-FR"/>
        </w:rPr>
        <w:t xml:space="preserve">ont ultérieurement interpellé et verbalisé A.T., qui se trouvait en </w:t>
      </w:r>
      <w:r w:rsidR="00D67B9E" w:rsidRPr="00B94E33">
        <w:rPr>
          <w:rFonts w:cs="Times New Roman"/>
          <w:bCs/>
          <w:color w:val="000000"/>
          <w:szCs w:val="24"/>
          <w:lang w:val="fr-FR"/>
        </w:rPr>
        <w:t>état d</w:t>
      </w:r>
      <w:r w:rsidR="00B94E33" w:rsidRPr="00B94E33">
        <w:rPr>
          <w:rFonts w:cs="Times New Roman"/>
          <w:bCs/>
          <w:color w:val="000000"/>
          <w:szCs w:val="24"/>
          <w:lang w:val="fr-FR"/>
        </w:rPr>
        <w:t>’</w:t>
      </w:r>
      <w:r w:rsidR="00D67B9E" w:rsidRPr="00B94E33">
        <w:rPr>
          <w:rFonts w:cs="Times New Roman"/>
          <w:bCs/>
          <w:color w:val="000000"/>
          <w:szCs w:val="24"/>
          <w:lang w:val="fr-FR"/>
        </w:rPr>
        <w:t>ébriété</w:t>
      </w:r>
      <w:r w:rsidR="00D20870" w:rsidRPr="00B94E33">
        <w:rPr>
          <w:rFonts w:cs="Times New Roman"/>
          <w:bCs/>
          <w:color w:val="000000"/>
          <w:szCs w:val="24"/>
          <w:lang w:val="fr-FR"/>
        </w:rPr>
        <w:t xml:space="preserve">. </w:t>
      </w:r>
      <w:r w:rsidR="000D5A91" w:rsidRPr="00B94E33">
        <w:rPr>
          <w:rFonts w:cs="Times New Roman"/>
          <w:bCs/>
          <w:color w:val="000000"/>
          <w:szCs w:val="24"/>
          <w:lang w:val="fr-FR"/>
        </w:rPr>
        <w:t>P</w:t>
      </w:r>
      <w:r w:rsidR="00D67B9E" w:rsidRPr="00B94E33">
        <w:rPr>
          <w:rFonts w:cs="Times New Roman"/>
          <w:bCs/>
          <w:color w:val="000000"/>
          <w:szCs w:val="24"/>
          <w:lang w:val="fr-FR"/>
        </w:rPr>
        <w:t xml:space="preserve">renant également en considération la </w:t>
      </w:r>
      <w:r w:rsidR="00BF68B4" w:rsidRPr="00B94E33">
        <w:rPr>
          <w:rFonts w:cs="Times New Roman"/>
          <w:bCs/>
          <w:color w:val="000000"/>
          <w:szCs w:val="24"/>
          <w:lang w:val="fr-FR"/>
        </w:rPr>
        <w:t xml:space="preserve">possibilité </w:t>
      </w:r>
      <w:r w:rsidR="00D20870" w:rsidRPr="00B94E33">
        <w:rPr>
          <w:rFonts w:cs="Times New Roman"/>
          <w:bCs/>
          <w:color w:val="000000"/>
          <w:szCs w:val="24"/>
          <w:lang w:val="fr-FR"/>
        </w:rPr>
        <w:t>dont disposaient les forces de l</w:t>
      </w:r>
      <w:r w:rsidR="00B94E33" w:rsidRPr="00B94E33">
        <w:rPr>
          <w:rFonts w:cs="Times New Roman"/>
          <w:bCs/>
          <w:color w:val="000000"/>
          <w:szCs w:val="24"/>
          <w:lang w:val="fr-FR"/>
        </w:rPr>
        <w:t>’</w:t>
      </w:r>
      <w:r w:rsidR="00D20870" w:rsidRPr="00B94E33">
        <w:rPr>
          <w:rFonts w:cs="Times New Roman"/>
          <w:bCs/>
          <w:color w:val="000000"/>
          <w:szCs w:val="24"/>
          <w:lang w:val="fr-FR"/>
        </w:rPr>
        <w:t>ordre de vérifier e</w:t>
      </w:r>
      <w:r w:rsidR="00BF68B4" w:rsidRPr="00B94E33">
        <w:rPr>
          <w:rFonts w:cs="Times New Roman"/>
          <w:bCs/>
          <w:color w:val="000000"/>
          <w:szCs w:val="24"/>
          <w:lang w:val="fr-FR"/>
        </w:rPr>
        <w:t xml:space="preserve">n temps </w:t>
      </w:r>
      <w:r w:rsidR="00B92C25" w:rsidRPr="00B94E33">
        <w:rPr>
          <w:rFonts w:cs="Times New Roman"/>
          <w:bCs/>
          <w:color w:val="000000"/>
          <w:szCs w:val="24"/>
          <w:lang w:val="fr-FR"/>
        </w:rPr>
        <w:t>réel</w:t>
      </w:r>
      <w:r w:rsidR="00BF68B4" w:rsidRPr="00B94E33">
        <w:rPr>
          <w:rFonts w:cs="Times New Roman"/>
          <w:bCs/>
          <w:color w:val="000000"/>
          <w:szCs w:val="24"/>
          <w:lang w:val="fr-FR"/>
        </w:rPr>
        <w:t xml:space="preserve"> les </w:t>
      </w:r>
      <w:r w:rsidR="00B92C25" w:rsidRPr="00B94E33">
        <w:rPr>
          <w:rFonts w:cs="Times New Roman"/>
          <w:bCs/>
          <w:color w:val="000000"/>
          <w:szCs w:val="24"/>
          <w:lang w:val="fr-FR"/>
        </w:rPr>
        <w:t>antécédents</w:t>
      </w:r>
      <w:r w:rsidR="00BF68B4" w:rsidRPr="00B94E33">
        <w:rPr>
          <w:rFonts w:cs="Times New Roman"/>
          <w:bCs/>
          <w:color w:val="000000"/>
          <w:szCs w:val="24"/>
          <w:lang w:val="fr-FR"/>
        </w:rPr>
        <w:t xml:space="preserve"> de A.T.</w:t>
      </w:r>
      <w:r w:rsidR="00D67B9E" w:rsidRPr="00B94E33">
        <w:rPr>
          <w:rFonts w:cs="Times New Roman"/>
          <w:bCs/>
          <w:color w:val="000000"/>
          <w:szCs w:val="24"/>
          <w:lang w:val="fr-FR"/>
        </w:rPr>
        <w:t xml:space="preserve">, la Cour considère </w:t>
      </w:r>
      <w:r w:rsidR="00781904" w:rsidRPr="00B94E33">
        <w:rPr>
          <w:rFonts w:cs="Times New Roman"/>
          <w:bCs/>
          <w:color w:val="000000"/>
          <w:szCs w:val="24"/>
          <w:lang w:val="fr-FR"/>
        </w:rPr>
        <w:t xml:space="preserve">que </w:t>
      </w:r>
      <w:r w:rsidR="00147458" w:rsidRPr="00B94E33">
        <w:rPr>
          <w:rFonts w:cs="Times New Roman"/>
          <w:bCs/>
          <w:color w:val="000000"/>
          <w:szCs w:val="24"/>
          <w:lang w:val="fr-FR"/>
        </w:rPr>
        <w:t xml:space="preserve">celles-ci </w:t>
      </w:r>
      <w:r w:rsidR="00781904" w:rsidRPr="00B94E33">
        <w:rPr>
          <w:rFonts w:cs="Times New Roman"/>
          <w:bCs/>
          <w:color w:val="000000"/>
          <w:szCs w:val="24"/>
          <w:lang w:val="fr-FR"/>
        </w:rPr>
        <w:t xml:space="preserve">auraient dû savoir que </w:t>
      </w:r>
      <w:r w:rsidR="00D20870" w:rsidRPr="00B94E33">
        <w:rPr>
          <w:rFonts w:cs="Times New Roman"/>
          <w:bCs/>
          <w:color w:val="000000"/>
          <w:szCs w:val="24"/>
          <w:lang w:val="fr-FR"/>
        </w:rPr>
        <w:t xml:space="preserve">le mari de la requérante </w:t>
      </w:r>
      <w:r w:rsidR="00781904" w:rsidRPr="00B94E33">
        <w:rPr>
          <w:rFonts w:cs="Times New Roman"/>
          <w:bCs/>
          <w:color w:val="000000"/>
          <w:szCs w:val="24"/>
          <w:lang w:val="fr-FR"/>
        </w:rPr>
        <w:t xml:space="preserve">représentait </w:t>
      </w:r>
      <w:r w:rsidR="00781904" w:rsidRPr="00B94E33">
        <w:rPr>
          <w:rFonts w:cstheme="minorHAnsi"/>
          <w:bCs/>
          <w:color w:val="000000"/>
          <w:szCs w:val="24"/>
          <w:lang w:val="fr-FR"/>
        </w:rPr>
        <w:t xml:space="preserve">pour </w:t>
      </w:r>
      <w:r w:rsidR="00D20870" w:rsidRPr="00B94E33">
        <w:rPr>
          <w:rFonts w:cstheme="minorHAnsi"/>
          <w:bCs/>
          <w:color w:val="000000"/>
          <w:szCs w:val="24"/>
          <w:lang w:val="fr-FR"/>
        </w:rPr>
        <w:t>cette dernière</w:t>
      </w:r>
      <w:r w:rsidR="004445FE" w:rsidRPr="00B94E33">
        <w:rPr>
          <w:rFonts w:cstheme="minorHAnsi"/>
          <w:bCs/>
          <w:color w:val="000000"/>
          <w:szCs w:val="24"/>
          <w:lang w:val="fr-FR"/>
        </w:rPr>
        <w:t xml:space="preserve"> </w:t>
      </w:r>
      <w:r w:rsidR="004445FE" w:rsidRPr="00B94E33">
        <w:rPr>
          <w:rFonts w:eastAsia="Times New Roman" w:cstheme="minorHAnsi"/>
          <w:bCs/>
          <w:lang w:val="fr-FR"/>
        </w:rPr>
        <w:t>une menace réelle pour laquelle on ne pouvait pas exclure une mise en exécution imminente</w:t>
      </w:r>
      <w:r w:rsidR="00781904" w:rsidRPr="00B94E33">
        <w:rPr>
          <w:rFonts w:cs="Times New Roman"/>
          <w:bCs/>
          <w:szCs w:val="24"/>
          <w:lang w:val="fr-FR"/>
        </w:rPr>
        <w:t xml:space="preserve">. </w:t>
      </w:r>
      <w:r w:rsidR="00781904" w:rsidRPr="00B94E33">
        <w:rPr>
          <w:rFonts w:cs="Times New Roman"/>
          <w:bCs/>
          <w:color w:val="000000"/>
          <w:szCs w:val="24"/>
          <w:lang w:val="fr-FR"/>
        </w:rPr>
        <w:t xml:space="preserve">Elle conclut donc </w:t>
      </w:r>
      <w:r w:rsidR="00D67B9E" w:rsidRPr="00B94E33">
        <w:rPr>
          <w:rFonts w:cs="Times New Roman"/>
          <w:bCs/>
          <w:color w:val="000000"/>
          <w:szCs w:val="24"/>
          <w:lang w:val="fr-FR"/>
        </w:rPr>
        <w:t>qu</w:t>
      </w:r>
      <w:r w:rsidR="00147458" w:rsidRPr="00B94E33">
        <w:rPr>
          <w:rFonts w:cs="Times New Roman"/>
          <w:bCs/>
          <w:color w:val="000000"/>
          <w:szCs w:val="24"/>
          <w:lang w:val="fr-FR"/>
        </w:rPr>
        <w:t xml:space="preserve">e les autorités compétentes </w:t>
      </w:r>
      <w:r w:rsidR="00D67B9E" w:rsidRPr="00B94E33">
        <w:rPr>
          <w:szCs w:val="24"/>
          <w:lang w:val="fr-FR"/>
        </w:rPr>
        <w:t>n</w:t>
      </w:r>
      <w:r w:rsidR="00B94E33" w:rsidRPr="00B94E33">
        <w:rPr>
          <w:szCs w:val="24"/>
          <w:lang w:val="fr-FR"/>
        </w:rPr>
        <w:t>’</w:t>
      </w:r>
      <w:r w:rsidR="00D67B9E" w:rsidRPr="00B94E33">
        <w:rPr>
          <w:szCs w:val="24"/>
          <w:lang w:val="fr-FR"/>
        </w:rPr>
        <w:t>ont pas pris dans le cadre de leurs pouvoirs, les mesures qui, d</w:t>
      </w:r>
      <w:r w:rsidR="00B94E33" w:rsidRPr="00B94E33">
        <w:rPr>
          <w:szCs w:val="24"/>
          <w:lang w:val="fr-FR"/>
        </w:rPr>
        <w:t>’</w:t>
      </w:r>
      <w:r w:rsidR="00D67B9E" w:rsidRPr="00B94E33">
        <w:rPr>
          <w:szCs w:val="24"/>
          <w:lang w:val="fr-FR"/>
        </w:rPr>
        <w:t>un point de vue raisonnable, auraient sans doute pallié, voire empêché, la matérialisation d</w:t>
      </w:r>
      <w:r w:rsidR="00B94E33" w:rsidRPr="00B94E33">
        <w:rPr>
          <w:szCs w:val="24"/>
          <w:lang w:val="fr-FR"/>
        </w:rPr>
        <w:t>’</w:t>
      </w:r>
      <w:r w:rsidR="00D67B9E" w:rsidRPr="00B94E33">
        <w:rPr>
          <w:szCs w:val="24"/>
          <w:lang w:val="fr-FR"/>
        </w:rPr>
        <w:t>un risque réel pour la vie de la requérante et de son fils.</w:t>
      </w:r>
    </w:p>
    <w:p w:rsidR="007D59C3" w:rsidRPr="00B94E33" w:rsidRDefault="007D59C3"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123</w:t>
      </w:r>
      <w:r w:rsidRPr="00B94E33">
        <w:rPr>
          <w:lang w:val="fr-FR"/>
        </w:rPr>
        <w:fldChar w:fldCharType="end"/>
      </w:r>
      <w:r w:rsidRPr="00B94E33">
        <w:rPr>
          <w:lang w:val="fr-FR"/>
        </w:rPr>
        <w:t>.  </w:t>
      </w:r>
      <w:r w:rsidR="0049587C" w:rsidRPr="00B94E33">
        <w:rPr>
          <w:lang w:val="fr-FR"/>
        </w:rPr>
        <w:t xml:space="preserve">La </w:t>
      </w:r>
      <w:r w:rsidR="000E1D8E" w:rsidRPr="00B94E33">
        <w:rPr>
          <w:lang w:val="fr-FR"/>
        </w:rPr>
        <w:t xml:space="preserve">Cour </w:t>
      </w:r>
      <w:r w:rsidR="00F71B87" w:rsidRPr="00B94E33">
        <w:rPr>
          <w:lang w:val="fr-FR"/>
        </w:rPr>
        <w:t>rappell</w:t>
      </w:r>
      <w:r w:rsidR="00BF3379" w:rsidRPr="00B94E33">
        <w:rPr>
          <w:lang w:val="fr-FR"/>
        </w:rPr>
        <w:t>e</w:t>
      </w:r>
      <w:r w:rsidR="000E1D8E" w:rsidRPr="00B94E33">
        <w:rPr>
          <w:lang w:val="fr-FR"/>
        </w:rPr>
        <w:t xml:space="preserve"> que, dans les affaires de </w:t>
      </w:r>
      <w:r w:rsidR="00931F02" w:rsidRPr="00B94E33">
        <w:rPr>
          <w:lang w:val="fr-FR"/>
        </w:rPr>
        <w:t>violences domestiques</w:t>
      </w:r>
      <w:r w:rsidR="000E1D8E" w:rsidRPr="00B94E33">
        <w:rPr>
          <w:lang w:val="fr-FR"/>
        </w:rPr>
        <w:t>, les droits de l</w:t>
      </w:r>
      <w:r w:rsidR="00B94E33" w:rsidRPr="00B94E33">
        <w:rPr>
          <w:lang w:val="fr-FR"/>
        </w:rPr>
        <w:t>’</w:t>
      </w:r>
      <w:r w:rsidR="000E1D8E" w:rsidRPr="00B94E33">
        <w:rPr>
          <w:lang w:val="fr-FR"/>
        </w:rPr>
        <w:t>agresseur ne peuvent l</w:t>
      </w:r>
      <w:r w:rsidR="00B94E33" w:rsidRPr="00B94E33">
        <w:rPr>
          <w:lang w:val="fr-FR"/>
        </w:rPr>
        <w:t>’</w:t>
      </w:r>
      <w:r w:rsidR="000E1D8E" w:rsidRPr="00B94E33">
        <w:rPr>
          <w:lang w:val="fr-FR"/>
        </w:rPr>
        <w:t>emporter sur les droits des victimes à la vie et à l</w:t>
      </w:r>
      <w:r w:rsidR="00B94E33" w:rsidRPr="00B94E33">
        <w:rPr>
          <w:lang w:val="fr-FR"/>
        </w:rPr>
        <w:t>’</w:t>
      </w:r>
      <w:r w:rsidR="000E1D8E" w:rsidRPr="00B94E33">
        <w:rPr>
          <w:lang w:val="fr-FR"/>
        </w:rPr>
        <w:t>intégrité physique et mentale (</w:t>
      </w:r>
      <w:r w:rsidRPr="00B94E33">
        <w:rPr>
          <w:i/>
          <w:lang w:val="fr-FR"/>
        </w:rPr>
        <w:t>Opuz</w:t>
      </w:r>
      <w:r w:rsidR="00F84101" w:rsidRPr="00B94E33">
        <w:rPr>
          <w:lang w:val="fr-FR"/>
        </w:rPr>
        <w:t>,</w:t>
      </w:r>
      <w:r w:rsidR="00F84101" w:rsidRPr="00B94E33">
        <w:rPr>
          <w:i/>
          <w:lang w:val="fr-FR"/>
        </w:rPr>
        <w:t xml:space="preserve"> </w:t>
      </w:r>
      <w:r w:rsidR="00F84101" w:rsidRPr="00B94E33">
        <w:rPr>
          <w:lang w:val="fr-FR"/>
        </w:rPr>
        <w:t>précité</w:t>
      </w:r>
      <w:r w:rsidR="00BF3379" w:rsidRPr="00B94E33">
        <w:rPr>
          <w:lang w:val="fr-FR"/>
        </w:rPr>
        <w:t>,</w:t>
      </w:r>
      <w:r w:rsidR="00F84101" w:rsidRPr="00B94E33">
        <w:rPr>
          <w:i/>
          <w:lang w:val="fr-FR"/>
        </w:rPr>
        <w:t xml:space="preserve"> </w:t>
      </w:r>
      <w:r w:rsidR="00F84101" w:rsidRPr="00B94E33">
        <w:rPr>
          <w:lang w:val="fr-FR"/>
        </w:rPr>
        <w:t>§</w:t>
      </w:r>
      <w:r w:rsidR="00BF3379" w:rsidRPr="00B94E33">
        <w:rPr>
          <w:lang w:val="fr-FR"/>
        </w:rPr>
        <w:t xml:space="preserve"> </w:t>
      </w:r>
      <w:r w:rsidR="00F84101" w:rsidRPr="00B94E33">
        <w:rPr>
          <w:lang w:val="fr-FR"/>
        </w:rPr>
        <w:t>147</w:t>
      </w:r>
      <w:r w:rsidR="0049587C" w:rsidRPr="00B94E33">
        <w:rPr>
          <w:lang w:val="fr-FR"/>
        </w:rPr>
        <w:t xml:space="preserve">). </w:t>
      </w:r>
      <w:r w:rsidR="000E1D8E" w:rsidRPr="00B94E33">
        <w:rPr>
          <w:lang w:val="fr-FR"/>
        </w:rPr>
        <w:t>Qui plus est, l</w:t>
      </w:r>
      <w:r w:rsidR="00B94E33" w:rsidRPr="00B94E33">
        <w:rPr>
          <w:lang w:val="fr-FR"/>
        </w:rPr>
        <w:t>’</w:t>
      </w:r>
      <w:r w:rsidR="00BF3379" w:rsidRPr="00B94E33">
        <w:rPr>
          <w:lang w:val="fr-FR"/>
        </w:rPr>
        <w:t>É</w:t>
      </w:r>
      <w:r w:rsidR="000E1D8E" w:rsidRPr="00B94E33">
        <w:rPr>
          <w:lang w:val="fr-FR"/>
        </w:rPr>
        <w:t xml:space="preserve">tat </w:t>
      </w:r>
      <w:r w:rsidR="00BF3379" w:rsidRPr="00B94E33">
        <w:rPr>
          <w:lang w:val="fr-FR"/>
        </w:rPr>
        <w:t xml:space="preserve">a </w:t>
      </w:r>
      <w:r w:rsidR="000E1D8E" w:rsidRPr="00B94E33">
        <w:rPr>
          <w:lang w:val="fr-FR"/>
        </w:rPr>
        <w:t>l</w:t>
      </w:r>
      <w:r w:rsidR="00B94E33" w:rsidRPr="00B94E33">
        <w:rPr>
          <w:lang w:val="fr-FR"/>
        </w:rPr>
        <w:t>’</w:t>
      </w:r>
      <w:r w:rsidR="000E1D8E" w:rsidRPr="00B94E33">
        <w:rPr>
          <w:lang w:val="fr-FR"/>
        </w:rPr>
        <w:t>obligation positive de mettre en œuvre préventivement des mesures d</w:t>
      </w:r>
      <w:r w:rsidR="00B94E33" w:rsidRPr="00B94E33">
        <w:rPr>
          <w:lang w:val="fr-FR"/>
        </w:rPr>
        <w:t>’</w:t>
      </w:r>
      <w:r w:rsidR="000E1D8E" w:rsidRPr="00B94E33">
        <w:rPr>
          <w:lang w:val="fr-FR"/>
        </w:rPr>
        <w:t>ordre pratique pour protéger l</w:t>
      </w:r>
      <w:r w:rsidR="00B94E33" w:rsidRPr="00B94E33">
        <w:rPr>
          <w:lang w:val="fr-FR"/>
        </w:rPr>
        <w:t>’</w:t>
      </w:r>
      <w:r w:rsidR="000E1D8E" w:rsidRPr="00B94E33">
        <w:rPr>
          <w:lang w:val="fr-FR"/>
        </w:rPr>
        <w:t>i</w:t>
      </w:r>
      <w:r w:rsidRPr="00B94E33">
        <w:rPr>
          <w:lang w:val="fr-FR"/>
        </w:rPr>
        <w:t>ndividu dont la vie est menacée</w:t>
      </w:r>
      <w:r w:rsidR="000E1D8E" w:rsidRPr="00B94E33">
        <w:rPr>
          <w:lang w:val="fr-FR"/>
        </w:rPr>
        <w:t>.</w:t>
      </w:r>
    </w:p>
    <w:p w:rsidR="007D59C3" w:rsidRPr="00B94E33" w:rsidRDefault="0049587C"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124</w:t>
      </w:r>
      <w:r w:rsidRPr="00B94E33">
        <w:rPr>
          <w:lang w:val="fr-FR"/>
        </w:rPr>
        <w:fldChar w:fldCharType="end"/>
      </w:r>
      <w:r w:rsidRPr="00B94E33">
        <w:rPr>
          <w:lang w:val="fr-FR"/>
        </w:rPr>
        <w:t>.  </w:t>
      </w:r>
      <w:r w:rsidR="007D59C3" w:rsidRPr="00B94E33">
        <w:rPr>
          <w:lang w:val="fr-FR"/>
        </w:rPr>
        <w:t xml:space="preserve">Dans ces </w:t>
      </w:r>
      <w:r w:rsidR="00F71B87" w:rsidRPr="00B94E33">
        <w:rPr>
          <w:lang w:val="fr-FR"/>
        </w:rPr>
        <w:t>circonstances</w:t>
      </w:r>
      <w:r w:rsidR="007D59C3" w:rsidRPr="00B94E33">
        <w:rPr>
          <w:lang w:val="fr-FR"/>
        </w:rPr>
        <w:t xml:space="preserve">, la Cour conclut que les autorités ne sauraient passer pour avoir fait preuve de la diligence requise. Dès lors, </w:t>
      </w:r>
      <w:r w:rsidR="00E77632" w:rsidRPr="00B94E33">
        <w:rPr>
          <w:lang w:val="fr-FR"/>
        </w:rPr>
        <w:t>elle estime qu</w:t>
      </w:r>
      <w:r w:rsidR="00B94E33" w:rsidRPr="00B94E33">
        <w:rPr>
          <w:lang w:val="fr-FR"/>
        </w:rPr>
        <w:t>’</w:t>
      </w:r>
      <w:r w:rsidR="007D59C3" w:rsidRPr="00B94E33">
        <w:rPr>
          <w:lang w:val="fr-FR"/>
        </w:rPr>
        <w:t>elles ont manqué à leur obligation positive de protéger la vie de la requérante et de son fils au titre de l</w:t>
      </w:r>
      <w:r w:rsidR="00B94E33" w:rsidRPr="00B94E33">
        <w:rPr>
          <w:lang w:val="fr-FR"/>
        </w:rPr>
        <w:t>’</w:t>
      </w:r>
      <w:r w:rsidR="007D59C3" w:rsidRPr="00B94E33">
        <w:rPr>
          <w:lang w:val="fr-FR"/>
        </w:rPr>
        <w:t>article 2 de la Convention</w:t>
      </w:r>
      <w:r w:rsidR="00675864" w:rsidRPr="00B94E33">
        <w:rPr>
          <w:lang w:val="fr-FR"/>
        </w:rPr>
        <w:t>.</w:t>
      </w:r>
    </w:p>
    <w:p w:rsidR="00BD18A2" w:rsidRPr="00B94E33" w:rsidRDefault="00BD18A2"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125</w:t>
      </w:r>
      <w:r w:rsidRPr="00B94E33">
        <w:rPr>
          <w:lang w:val="fr-FR"/>
        </w:rPr>
        <w:fldChar w:fldCharType="end"/>
      </w:r>
      <w:r w:rsidRPr="00B94E33">
        <w:rPr>
          <w:lang w:val="fr-FR"/>
        </w:rPr>
        <w:t>.  Au vu de ce qui précède, la Cour estime que les manquements constatés ci-dessus ont rendu la plainte pénale de la requérante inopérante dans les circonstances de l</w:t>
      </w:r>
      <w:r w:rsidR="00B94E33" w:rsidRPr="00B94E33">
        <w:rPr>
          <w:lang w:val="fr-FR"/>
        </w:rPr>
        <w:t>’</w:t>
      </w:r>
      <w:r w:rsidRPr="00B94E33">
        <w:rPr>
          <w:lang w:val="fr-FR"/>
        </w:rPr>
        <w:t>espèce. Dès lors, elle rejette l</w:t>
      </w:r>
      <w:r w:rsidR="00B94E33" w:rsidRPr="00B94E33">
        <w:rPr>
          <w:lang w:val="fr-FR"/>
        </w:rPr>
        <w:t>’</w:t>
      </w:r>
      <w:r w:rsidRPr="00B94E33">
        <w:rPr>
          <w:lang w:val="fr-FR"/>
        </w:rPr>
        <w:t xml:space="preserve">exception préliminaire du Gouvernement tirée du non-épuisement des voies de recours internes (paragraphe </w:t>
      </w:r>
      <w:r w:rsidRPr="00B94E33">
        <w:rPr>
          <w:lang w:val="fr-FR"/>
        </w:rPr>
        <w:fldChar w:fldCharType="begin"/>
      </w:r>
      <w:r w:rsidRPr="00B94E33">
        <w:rPr>
          <w:lang w:val="fr-FR"/>
        </w:rPr>
        <w:instrText xml:space="preserve"> REF para71 \h  \* MERGEFORMAT </w:instrText>
      </w:r>
      <w:r w:rsidRPr="00B94E33">
        <w:rPr>
          <w:lang w:val="fr-FR"/>
        </w:rPr>
      </w:r>
      <w:r w:rsidRPr="00B94E33">
        <w:rPr>
          <w:lang w:val="fr-FR"/>
        </w:rPr>
        <w:fldChar w:fldCharType="separate"/>
      </w:r>
      <w:r w:rsidR="00B94E33" w:rsidRPr="00B94E33">
        <w:rPr>
          <w:noProof/>
          <w:lang w:val="fr-FR"/>
        </w:rPr>
        <w:t>68</w:t>
      </w:r>
      <w:r w:rsidRPr="00B94E33">
        <w:rPr>
          <w:lang w:val="fr-FR"/>
        </w:rPr>
        <w:fldChar w:fldCharType="end"/>
      </w:r>
      <w:r w:rsidR="00F83438" w:rsidRPr="00B94E33">
        <w:rPr>
          <w:lang w:val="fr-FR"/>
        </w:rPr>
        <w:t xml:space="preserve"> ci-dessus) et conclut à la</w:t>
      </w:r>
      <w:r w:rsidR="009A4363" w:rsidRPr="00B94E33">
        <w:rPr>
          <w:lang w:val="fr-FR"/>
        </w:rPr>
        <w:t xml:space="preserve"> </w:t>
      </w:r>
      <w:r w:rsidR="00F83438" w:rsidRPr="00B94E33">
        <w:rPr>
          <w:lang w:val="fr-FR"/>
        </w:rPr>
        <w:t>violation de l</w:t>
      </w:r>
      <w:r w:rsidR="00B94E33" w:rsidRPr="00B94E33">
        <w:rPr>
          <w:lang w:val="fr-FR"/>
        </w:rPr>
        <w:t>’</w:t>
      </w:r>
      <w:r w:rsidR="00F83438" w:rsidRPr="00B94E33">
        <w:rPr>
          <w:lang w:val="fr-FR"/>
        </w:rPr>
        <w:t>article 2 de la Convention.</w:t>
      </w:r>
    </w:p>
    <w:p w:rsidR="00AD78F5" w:rsidRPr="00B94E33" w:rsidRDefault="00DC5E2D" w:rsidP="00B94E33">
      <w:pPr>
        <w:pStyle w:val="ECHRHeading4"/>
        <w:rPr>
          <w:lang w:val="fr-FR"/>
        </w:rPr>
      </w:pPr>
      <w:r w:rsidRPr="00B94E33">
        <w:rPr>
          <w:lang w:val="fr-FR"/>
        </w:rPr>
        <w:t>b)</w:t>
      </w:r>
      <w:r w:rsidR="00EB1AD3" w:rsidRPr="00B94E33">
        <w:rPr>
          <w:lang w:val="fr-FR"/>
        </w:rPr>
        <w:t>  </w:t>
      </w:r>
      <w:r w:rsidR="00AD78F5" w:rsidRPr="00B94E33">
        <w:rPr>
          <w:lang w:val="fr-FR"/>
        </w:rPr>
        <w:t>En ce qui concerne l</w:t>
      </w:r>
      <w:r w:rsidR="00B94E33" w:rsidRPr="00B94E33">
        <w:rPr>
          <w:lang w:val="fr-FR"/>
        </w:rPr>
        <w:t>’</w:t>
      </w:r>
      <w:r w:rsidR="00AD78F5" w:rsidRPr="00B94E33">
        <w:rPr>
          <w:lang w:val="fr-FR"/>
        </w:rPr>
        <w:t>article 3</w:t>
      </w:r>
    </w:p>
    <w:p w:rsidR="00E7096F" w:rsidRPr="00B94E33" w:rsidRDefault="00E7096F" w:rsidP="00B94E33">
      <w:pPr>
        <w:pStyle w:val="ECHRPara"/>
        <w:rPr>
          <w:lang w:val="fr-FR"/>
        </w:rPr>
      </w:pPr>
      <w:r w:rsidRPr="00B94E33">
        <w:rPr>
          <w:rFonts w:eastAsia="Times New Roman"/>
          <w:lang w:val="fr-FR"/>
        </w:rPr>
        <w:fldChar w:fldCharType="begin"/>
      </w:r>
      <w:r w:rsidRPr="00B94E33">
        <w:rPr>
          <w:rFonts w:eastAsia="Times New Roman"/>
          <w:lang w:val="fr-FR"/>
        </w:rPr>
        <w:instrText xml:space="preserve"> SEQ level0 \*arabic </w:instrText>
      </w:r>
      <w:r w:rsidRPr="00B94E33">
        <w:rPr>
          <w:rFonts w:eastAsia="Times New Roman"/>
          <w:lang w:val="fr-FR"/>
        </w:rPr>
        <w:fldChar w:fldCharType="separate"/>
      </w:r>
      <w:r w:rsidR="00B94E33" w:rsidRPr="00B94E33">
        <w:rPr>
          <w:rFonts w:eastAsia="Times New Roman"/>
          <w:noProof/>
          <w:lang w:val="fr-FR"/>
        </w:rPr>
        <w:t>126</w:t>
      </w:r>
      <w:r w:rsidRPr="00B94E33">
        <w:rPr>
          <w:rFonts w:eastAsia="Times New Roman"/>
          <w:lang w:val="fr-FR"/>
        </w:rPr>
        <w:fldChar w:fldCharType="end"/>
      </w:r>
      <w:r w:rsidRPr="00B94E33">
        <w:rPr>
          <w:rFonts w:eastAsia="Times New Roman"/>
          <w:lang w:val="fr-FR"/>
        </w:rPr>
        <w:t>.  La Cour estime que la requérante peut être considérée comme relevant de la catégorie des « personnes vulnérables » qui ont droit à la protection de l</w:t>
      </w:r>
      <w:r w:rsidR="00B94E33" w:rsidRPr="00B94E33">
        <w:rPr>
          <w:rFonts w:eastAsia="Times New Roman"/>
          <w:lang w:val="fr-FR"/>
        </w:rPr>
        <w:t>’</w:t>
      </w:r>
      <w:r w:rsidRPr="00B94E33">
        <w:rPr>
          <w:rFonts w:eastAsia="Times New Roman"/>
          <w:lang w:val="fr-FR"/>
        </w:rPr>
        <w:t>État (</w:t>
      </w:r>
      <w:r w:rsidRPr="00B94E33">
        <w:rPr>
          <w:i/>
          <w:lang w:val="fr-FR"/>
        </w:rPr>
        <w:t>A. c. Royaume-Uni</w:t>
      </w:r>
      <w:r w:rsidRPr="00B94E33">
        <w:rPr>
          <w:lang w:val="fr-FR"/>
        </w:rPr>
        <w:t xml:space="preserve">, 23 septembre 1998, § 22, </w:t>
      </w:r>
      <w:r w:rsidRPr="00B94E33">
        <w:rPr>
          <w:i/>
          <w:lang w:val="fr-FR"/>
        </w:rPr>
        <w:t xml:space="preserve">Recueil </w:t>
      </w:r>
      <w:r w:rsidRPr="00B94E33">
        <w:rPr>
          <w:lang w:val="fr-FR"/>
        </w:rPr>
        <w:t>1998</w:t>
      </w:r>
      <w:r w:rsidRPr="00B94E33">
        <w:rPr>
          <w:lang w:val="fr-FR"/>
        </w:rPr>
        <w:noBreakHyphen/>
        <w:t>VI</w:t>
      </w:r>
      <w:r w:rsidRPr="00B94E33">
        <w:rPr>
          <w:rFonts w:eastAsia="Times New Roman"/>
          <w:lang w:val="fr-FR"/>
        </w:rPr>
        <w:t>). À cet égard, elle prend acte des violences que la requérante a subies par le passé. Elle relève en outre que les violences infligées à l</w:t>
      </w:r>
      <w:r w:rsidR="00B94E33" w:rsidRPr="00B94E33">
        <w:rPr>
          <w:rFonts w:eastAsia="Times New Roman"/>
          <w:lang w:val="fr-FR"/>
        </w:rPr>
        <w:t>’</w:t>
      </w:r>
      <w:r w:rsidRPr="00B94E33">
        <w:rPr>
          <w:rFonts w:eastAsia="Times New Roman"/>
          <w:lang w:val="fr-FR"/>
        </w:rPr>
        <w:t>intéressée, qui se sont traduites par des blessures corporelles et des pressions psychologiques, sont suffisamment graves pour être qualifiées de mauvais traitements au sens de l</w:t>
      </w:r>
      <w:r w:rsidR="00B94E33" w:rsidRPr="00B94E33">
        <w:rPr>
          <w:rFonts w:eastAsia="Times New Roman"/>
          <w:lang w:val="fr-FR"/>
        </w:rPr>
        <w:t>’</w:t>
      </w:r>
      <w:r w:rsidRPr="00B94E33">
        <w:rPr>
          <w:rFonts w:eastAsia="Times New Roman"/>
          <w:lang w:val="fr-FR"/>
        </w:rPr>
        <w:t>article 3 de la Convention. Il convient dès lors de déterminer si les autorités internes ont agi de manière à satisfaire aux exigences de cet article.</w:t>
      </w:r>
    </w:p>
    <w:p w:rsidR="00E7096F" w:rsidRPr="00B94E33" w:rsidRDefault="00E7096F" w:rsidP="00B94E33">
      <w:pPr>
        <w:pStyle w:val="ECHRPara"/>
        <w:rPr>
          <w:lang w:val="fr-FR"/>
        </w:rPr>
      </w:pPr>
      <w:r w:rsidRPr="00B94E33">
        <w:rPr>
          <w:rFonts w:ascii="Times New Roman" w:eastAsia="Times New Roman" w:hAnsi="Times New Roman" w:cs="Times New Roman"/>
          <w:szCs w:val="24"/>
          <w:lang w:val="fr-FR"/>
        </w:rPr>
        <w:fldChar w:fldCharType="begin"/>
      </w:r>
      <w:r w:rsidRPr="00B94E33">
        <w:rPr>
          <w:rFonts w:ascii="Times New Roman" w:eastAsia="Times New Roman" w:hAnsi="Times New Roman" w:cs="Times New Roman"/>
          <w:szCs w:val="24"/>
          <w:lang w:val="fr-FR"/>
        </w:rPr>
        <w:instrText xml:space="preserve"> SEQ level0 \*arabic </w:instrText>
      </w:r>
      <w:r w:rsidRPr="00B94E33">
        <w:rPr>
          <w:rFonts w:ascii="Times New Roman" w:eastAsia="Times New Roman" w:hAnsi="Times New Roman" w:cs="Times New Roman"/>
          <w:szCs w:val="24"/>
          <w:lang w:val="fr-FR"/>
        </w:rPr>
        <w:fldChar w:fldCharType="separate"/>
      </w:r>
      <w:r w:rsidR="00B94E33" w:rsidRPr="00B94E33">
        <w:rPr>
          <w:rFonts w:ascii="Times New Roman" w:eastAsia="Times New Roman" w:hAnsi="Times New Roman" w:cs="Times New Roman"/>
          <w:noProof/>
          <w:szCs w:val="24"/>
          <w:lang w:val="fr-FR"/>
        </w:rPr>
        <w:t>127</w:t>
      </w:r>
      <w:r w:rsidRPr="00B94E33">
        <w:rPr>
          <w:rFonts w:ascii="Times New Roman" w:eastAsia="Times New Roman" w:hAnsi="Times New Roman" w:cs="Times New Roman"/>
          <w:szCs w:val="24"/>
          <w:lang w:val="fr-FR"/>
        </w:rPr>
        <w:fldChar w:fldCharType="end"/>
      </w:r>
      <w:r w:rsidRPr="00B94E33">
        <w:rPr>
          <w:rFonts w:ascii="Times New Roman" w:eastAsia="Times New Roman" w:hAnsi="Times New Roman" w:cs="Times New Roman"/>
          <w:szCs w:val="24"/>
          <w:lang w:val="fr-FR"/>
        </w:rPr>
        <w:t>.  La Cour vient de constater sous l</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angle de l</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 xml:space="preserve">article 2 de la Convention (paragraphe </w:t>
      </w:r>
      <w:r w:rsidR="009B5CDC" w:rsidRPr="00B94E33">
        <w:rPr>
          <w:rFonts w:ascii="Times New Roman" w:eastAsia="Times New Roman" w:hAnsi="Times New Roman" w:cs="Times New Roman"/>
          <w:szCs w:val="24"/>
          <w:lang w:val="fr-FR"/>
        </w:rPr>
        <w:fldChar w:fldCharType="begin"/>
      </w:r>
      <w:r w:rsidR="009B5CDC" w:rsidRPr="00B94E33">
        <w:rPr>
          <w:rFonts w:ascii="Times New Roman" w:eastAsia="Times New Roman" w:hAnsi="Times New Roman" w:cs="Times New Roman"/>
          <w:szCs w:val="24"/>
          <w:lang w:val="fr-FR"/>
        </w:rPr>
        <w:instrText xml:space="preserve"> REF para115 \h </w:instrText>
      </w:r>
      <w:r w:rsidR="009B5CDC" w:rsidRPr="00B94E33">
        <w:rPr>
          <w:rFonts w:ascii="Times New Roman" w:eastAsia="Times New Roman" w:hAnsi="Times New Roman" w:cs="Times New Roman"/>
          <w:szCs w:val="24"/>
          <w:lang w:val="fr-FR"/>
        </w:rPr>
      </w:r>
      <w:r w:rsidR="009B5CDC" w:rsidRPr="00B94E33">
        <w:rPr>
          <w:rFonts w:ascii="Times New Roman" w:eastAsia="Times New Roman" w:hAnsi="Times New Roman" w:cs="Times New Roman"/>
          <w:szCs w:val="24"/>
          <w:lang w:val="fr-FR"/>
        </w:rPr>
        <w:fldChar w:fldCharType="separate"/>
      </w:r>
      <w:r w:rsidR="00B94E33" w:rsidRPr="00B94E33">
        <w:rPr>
          <w:noProof/>
          <w:lang w:val="fr-FR"/>
        </w:rPr>
        <w:t>117</w:t>
      </w:r>
      <w:r w:rsidR="009B5CDC" w:rsidRPr="00B94E33">
        <w:rPr>
          <w:rFonts w:ascii="Times New Roman" w:eastAsia="Times New Roman" w:hAnsi="Times New Roman" w:cs="Times New Roman"/>
          <w:szCs w:val="24"/>
          <w:lang w:val="fr-FR"/>
        </w:rPr>
        <w:fldChar w:fldCharType="end"/>
      </w:r>
      <w:r w:rsidRPr="00B94E33">
        <w:rPr>
          <w:rFonts w:ascii="Times New Roman" w:eastAsia="Times New Roman" w:hAnsi="Times New Roman" w:cs="Times New Roman"/>
          <w:szCs w:val="24"/>
          <w:lang w:val="fr-FR"/>
        </w:rPr>
        <w:t xml:space="preserve"> ci-dessus) </w:t>
      </w:r>
      <w:r w:rsidRPr="00B94E33">
        <w:rPr>
          <w:lang w:val="fr-FR"/>
        </w:rPr>
        <w:t>que, en n</w:t>
      </w:r>
      <w:r w:rsidR="00B94E33" w:rsidRPr="00B94E33">
        <w:rPr>
          <w:lang w:val="fr-FR"/>
        </w:rPr>
        <w:t>’</w:t>
      </w:r>
      <w:r w:rsidRPr="00B94E33">
        <w:rPr>
          <w:lang w:val="fr-FR"/>
        </w:rPr>
        <w:t xml:space="preserve">agissant pas rapidement après le dépôt de la plainte de la requérante, les instances nationales ont </w:t>
      </w:r>
      <w:r w:rsidRPr="00B94E33">
        <w:rPr>
          <w:lang w:val="fr-FR"/>
        </w:rPr>
        <w:lastRenderedPageBreak/>
        <w:t>privé ladite plainte de toute efficacité, créant un contexte d</w:t>
      </w:r>
      <w:r w:rsidR="00B94E33" w:rsidRPr="00B94E33">
        <w:rPr>
          <w:lang w:val="fr-FR"/>
        </w:rPr>
        <w:t>’</w:t>
      </w:r>
      <w:r w:rsidRPr="00B94E33">
        <w:rPr>
          <w:lang w:val="fr-FR"/>
        </w:rPr>
        <w:t>impunité favorable à la répétition par A.T. de ses actes de violence à l</w:t>
      </w:r>
      <w:r w:rsidR="00B94E33" w:rsidRPr="00B94E33">
        <w:rPr>
          <w:lang w:val="fr-FR"/>
        </w:rPr>
        <w:t>’</w:t>
      </w:r>
      <w:r w:rsidRPr="00B94E33">
        <w:rPr>
          <w:lang w:val="fr-FR"/>
        </w:rPr>
        <w:t xml:space="preserve">encontre de sa femme et de sa famille. Elle note également que </w:t>
      </w:r>
      <w:r w:rsidRPr="00B94E33">
        <w:rPr>
          <w:rFonts w:ascii="Times New Roman" w:eastAsia="Times New Roman" w:hAnsi="Times New Roman" w:cs="Times New Roman"/>
          <w:szCs w:val="24"/>
          <w:lang w:val="fr-FR"/>
        </w:rPr>
        <w:t>A.T. a été condamné le 1</w:t>
      </w:r>
      <w:r w:rsidRPr="00B94E33">
        <w:rPr>
          <w:rFonts w:ascii="Times New Roman" w:eastAsia="Times New Roman" w:hAnsi="Times New Roman" w:cs="Times New Roman"/>
          <w:szCs w:val="24"/>
          <w:vertAlign w:val="superscript"/>
          <w:lang w:val="fr-FR"/>
        </w:rPr>
        <w:t>er</w:t>
      </w:r>
      <w:r w:rsidRPr="00B94E33">
        <w:rPr>
          <w:rFonts w:ascii="Times New Roman" w:eastAsia="Times New Roman" w:hAnsi="Times New Roman" w:cs="Times New Roman"/>
          <w:szCs w:val="24"/>
          <w:lang w:val="fr-FR"/>
        </w:rPr>
        <w:t> octobre 2015 pour lésions corporelles aggravées à la suite de l</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incident du mois d</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août 2012, alors que, entre-temps, il avait tué son fils et commis une tentati</w:t>
      </w:r>
      <w:r w:rsidR="000419C4" w:rsidRPr="00B94E33">
        <w:rPr>
          <w:rFonts w:ascii="Times New Roman" w:eastAsia="Times New Roman" w:hAnsi="Times New Roman" w:cs="Times New Roman"/>
          <w:szCs w:val="24"/>
          <w:lang w:val="fr-FR"/>
        </w:rPr>
        <w:t>ve de meurtre sur la requérante et qu</w:t>
      </w:r>
      <w:r w:rsidR="00B94E33" w:rsidRPr="00B94E33">
        <w:rPr>
          <w:rFonts w:ascii="Times New Roman" w:eastAsia="Times New Roman" w:hAnsi="Times New Roman" w:cs="Times New Roman"/>
          <w:szCs w:val="24"/>
          <w:lang w:val="fr-FR"/>
        </w:rPr>
        <w:t>’</w:t>
      </w:r>
      <w:r w:rsidR="000419C4" w:rsidRPr="00B94E33">
        <w:rPr>
          <w:rFonts w:ascii="Times New Roman" w:eastAsia="Times New Roman" w:hAnsi="Times New Roman" w:cs="Times New Roman"/>
          <w:szCs w:val="24"/>
          <w:lang w:val="fr-FR"/>
        </w:rPr>
        <w:t>il a été également condamné</w:t>
      </w:r>
      <w:r w:rsidR="007C5E89" w:rsidRPr="00B94E33">
        <w:rPr>
          <w:rFonts w:ascii="Times New Roman" w:eastAsia="Times New Roman" w:hAnsi="Times New Roman" w:cs="Times New Roman"/>
          <w:szCs w:val="24"/>
          <w:lang w:val="fr-FR"/>
        </w:rPr>
        <w:t xml:space="preserve"> </w:t>
      </w:r>
      <w:r w:rsidR="007C5E89" w:rsidRPr="00B94E33">
        <w:rPr>
          <w:lang w:val="fr-FR"/>
        </w:rPr>
        <w:t>le 8 janvier 2015, par le juge de l</w:t>
      </w:r>
      <w:r w:rsidR="00B94E33" w:rsidRPr="00B94E33">
        <w:rPr>
          <w:lang w:val="fr-FR"/>
        </w:rPr>
        <w:t>’</w:t>
      </w:r>
      <w:r w:rsidR="007C5E89" w:rsidRPr="00B94E33">
        <w:rPr>
          <w:lang w:val="fr-FR"/>
        </w:rPr>
        <w:t>audience préliminaire (« le GUP ») de Udine à la réclusion à perpétuité pour le meurtre de son fils et la tentative de meurtre sur sa femme, et pour les délits de maltraitance envers la requéra</w:t>
      </w:r>
      <w:r w:rsidR="009F3D94" w:rsidRPr="00B94E33">
        <w:rPr>
          <w:lang w:val="fr-FR"/>
        </w:rPr>
        <w:t>nte et sa fille.</w:t>
      </w:r>
      <w:r w:rsidR="007C5E89" w:rsidRPr="00B94E33">
        <w:rPr>
          <w:lang w:val="fr-FR"/>
        </w:rPr>
        <w:t xml:space="preserve"> Il fut établi que la requérante et ses enfants vivaient dans un climat de violences </w:t>
      </w:r>
      <w:r w:rsidR="009F3D94" w:rsidRPr="00B94E33">
        <w:rPr>
          <w:lang w:val="fr-FR"/>
        </w:rPr>
        <w:t>(paragraphe</w:t>
      </w:r>
      <w:r w:rsidR="009B5CDC" w:rsidRPr="00B94E33">
        <w:rPr>
          <w:lang w:val="fr-FR"/>
        </w:rPr>
        <w:t xml:space="preserve"> </w:t>
      </w:r>
      <w:r w:rsidR="009B5CDC" w:rsidRPr="00B94E33">
        <w:rPr>
          <w:lang w:val="fr-FR"/>
        </w:rPr>
        <w:fldChar w:fldCharType="begin"/>
      </w:r>
      <w:r w:rsidR="009B5CDC" w:rsidRPr="00B94E33">
        <w:rPr>
          <w:lang w:val="fr-FR"/>
        </w:rPr>
        <w:instrText xml:space="preserve"> REF para47 \h </w:instrText>
      </w:r>
      <w:r w:rsidR="009B5CDC" w:rsidRPr="00B94E33">
        <w:rPr>
          <w:lang w:val="fr-FR"/>
        </w:rPr>
      </w:r>
      <w:r w:rsidR="009B5CDC" w:rsidRPr="00B94E33">
        <w:rPr>
          <w:lang w:val="fr-FR"/>
        </w:rPr>
        <w:fldChar w:fldCharType="separate"/>
      </w:r>
      <w:r w:rsidR="00B94E33" w:rsidRPr="00B94E33">
        <w:rPr>
          <w:noProof/>
          <w:lang w:val="fr-FR"/>
        </w:rPr>
        <w:t>47</w:t>
      </w:r>
      <w:r w:rsidR="009B5CDC" w:rsidRPr="00B94E33">
        <w:rPr>
          <w:lang w:val="fr-FR"/>
        </w:rPr>
        <w:fldChar w:fldCharType="end"/>
      </w:r>
      <w:r w:rsidR="009B5CDC" w:rsidRPr="00B94E33">
        <w:rPr>
          <w:lang w:val="fr-FR"/>
        </w:rPr>
        <w:t xml:space="preserve"> ci-dessus).</w:t>
      </w:r>
    </w:p>
    <w:p w:rsidR="00E7096F" w:rsidRPr="00B94E33" w:rsidRDefault="00E7096F" w:rsidP="00B94E33">
      <w:pPr>
        <w:pStyle w:val="ECHRPara"/>
        <w:rPr>
          <w:rFonts w:ascii="Times New Roman" w:eastAsia="Times New Roman" w:hAnsi="Times New Roman" w:cs="Times New Roman"/>
          <w:szCs w:val="24"/>
          <w:lang w:val="fr-FR"/>
        </w:rPr>
      </w:pPr>
      <w:r w:rsidRPr="00B94E33">
        <w:rPr>
          <w:rFonts w:ascii="Times New Roman" w:eastAsia="Times New Roman" w:hAnsi="Times New Roman" w:cs="Times New Roman"/>
          <w:szCs w:val="24"/>
          <w:lang w:val="fr-FR"/>
        </w:rPr>
        <w:fldChar w:fldCharType="begin"/>
      </w:r>
      <w:r w:rsidRPr="00B94E33">
        <w:rPr>
          <w:rFonts w:ascii="Times New Roman" w:eastAsia="Times New Roman" w:hAnsi="Times New Roman" w:cs="Times New Roman"/>
          <w:szCs w:val="24"/>
          <w:lang w:val="fr-FR"/>
        </w:rPr>
        <w:instrText xml:space="preserve"> SEQ level0 \*arabic </w:instrText>
      </w:r>
      <w:r w:rsidRPr="00B94E33">
        <w:rPr>
          <w:rFonts w:ascii="Times New Roman" w:eastAsia="Times New Roman" w:hAnsi="Times New Roman" w:cs="Times New Roman"/>
          <w:szCs w:val="24"/>
          <w:lang w:val="fr-FR"/>
        </w:rPr>
        <w:fldChar w:fldCharType="separate"/>
      </w:r>
      <w:r w:rsidR="00B94E33" w:rsidRPr="00B94E33">
        <w:rPr>
          <w:rFonts w:ascii="Times New Roman" w:eastAsia="Times New Roman" w:hAnsi="Times New Roman" w:cs="Times New Roman"/>
          <w:noProof/>
          <w:szCs w:val="24"/>
          <w:lang w:val="fr-FR"/>
        </w:rPr>
        <w:t>128</w:t>
      </w:r>
      <w:r w:rsidRPr="00B94E33">
        <w:rPr>
          <w:rFonts w:ascii="Times New Roman" w:eastAsia="Times New Roman" w:hAnsi="Times New Roman" w:cs="Times New Roman"/>
          <w:szCs w:val="24"/>
          <w:lang w:val="fr-FR"/>
        </w:rPr>
        <w:fldChar w:fldCharType="end"/>
      </w:r>
      <w:r w:rsidRPr="00B94E33">
        <w:rPr>
          <w:rFonts w:ascii="Times New Roman" w:eastAsia="Times New Roman" w:hAnsi="Times New Roman" w:cs="Times New Roman"/>
          <w:szCs w:val="24"/>
          <w:lang w:val="fr-FR"/>
        </w:rPr>
        <w:t>.  La Cour rappelle sur ce point que le simple passage du temps est de nature à nuire à l</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enquête mais aussi à compromettre définitivement ses chances d</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aboutissement (</w:t>
      </w:r>
      <w:r w:rsidRPr="00B94E33">
        <w:rPr>
          <w:rFonts w:ascii="Times New Roman" w:eastAsia="Times New Roman" w:hAnsi="Times New Roman" w:cs="Times New Roman"/>
          <w:i/>
          <w:szCs w:val="24"/>
          <w:lang w:val="fr-FR"/>
        </w:rPr>
        <w:t>M.B. c. Roumanie</w:t>
      </w:r>
      <w:r w:rsidRPr="00B94E33">
        <w:rPr>
          <w:rFonts w:ascii="Times New Roman" w:eastAsia="Times New Roman" w:hAnsi="Times New Roman" w:cs="Times New Roman"/>
          <w:szCs w:val="24"/>
          <w:lang w:val="fr-FR"/>
        </w:rPr>
        <w:t>, n</w:t>
      </w:r>
      <w:r w:rsidRPr="00B94E33">
        <w:rPr>
          <w:rFonts w:ascii="Times New Roman" w:eastAsia="Times New Roman" w:hAnsi="Times New Roman" w:cs="Times New Roman"/>
          <w:szCs w:val="24"/>
          <w:vertAlign w:val="superscript"/>
          <w:lang w:val="fr-FR"/>
        </w:rPr>
        <w:t>o</w:t>
      </w:r>
      <w:r w:rsidRPr="00B94E33">
        <w:rPr>
          <w:rFonts w:ascii="Times New Roman" w:eastAsia="Times New Roman" w:hAnsi="Times New Roman" w:cs="Times New Roman"/>
          <w:szCs w:val="24"/>
          <w:lang w:val="fr-FR"/>
        </w:rPr>
        <w:t xml:space="preserve"> </w:t>
      </w:r>
      <w:hyperlink r:id="rId40" w:anchor="{&quot;appno&quot;:[&quot;43982/06&quot;]}" w:tgtFrame="_blank" w:history="1">
        <w:r w:rsidRPr="00B94E33">
          <w:rPr>
            <w:rFonts w:ascii="Times New Roman" w:eastAsia="Times New Roman" w:hAnsi="Times New Roman" w:cs="Times New Roman"/>
            <w:szCs w:val="24"/>
            <w:lang w:val="fr-FR"/>
          </w:rPr>
          <w:t>43982/06</w:t>
        </w:r>
      </w:hyperlink>
      <w:r w:rsidRPr="00B94E33">
        <w:rPr>
          <w:rFonts w:ascii="Times New Roman" w:eastAsia="Times New Roman" w:hAnsi="Times New Roman" w:cs="Times New Roman"/>
          <w:szCs w:val="24"/>
          <w:lang w:val="fr-FR"/>
        </w:rPr>
        <w:t>, § 64, 3 novembre 2011). Elle rappelle aussi que l</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écoulement du temps érode inévitablement la quantité et la qualité des preuves disponibles et que, en outre, l</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apparence d</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un manque de diligence jette le doute sur la bonne foi avec lesquelles les investigations sont menées et fait perdurer l</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épreuve que traversent les plaignants (</w:t>
      </w:r>
      <w:r w:rsidRPr="00B94E33">
        <w:rPr>
          <w:rFonts w:ascii="Times New Roman" w:eastAsia="Times New Roman" w:hAnsi="Times New Roman" w:cs="Times New Roman"/>
          <w:i/>
          <w:szCs w:val="24"/>
          <w:lang w:val="fr-FR"/>
        </w:rPr>
        <w:t>Paul et Audrey Edwards c. Royaume-Uni</w:t>
      </w:r>
      <w:r w:rsidRPr="00B94E33">
        <w:rPr>
          <w:rFonts w:ascii="Times New Roman" w:eastAsia="Times New Roman" w:hAnsi="Times New Roman" w:cs="Times New Roman"/>
          <w:szCs w:val="24"/>
          <w:lang w:val="fr-FR"/>
        </w:rPr>
        <w:t>, n</w:t>
      </w:r>
      <w:r w:rsidRPr="00B94E33">
        <w:rPr>
          <w:rFonts w:ascii="Times New Roman" w:eastAsia="Times New Roman" w:hAnsi="Times New Roman" w:cs="Times New Roman"/>
          <w:szCs w:val="24"/>
          <w:vertAlign w:val="superscript"/>
          <w:lang w:val="fr-FR"/>
        </w:rPr>
        <w:t>o</w:t>
      </w:r>
      <w:r w:rsidRPr="00B94E33">
        <w:rPr>
          <w:rFonts w:ascii="Times New Roman" w:eastAsia="Times New Roman" w:hAnsi="Times New Roman" w:cs="Times New Roman"/>
          <w:szCs w:val="24"/>
          <w:lang w:val="fr-FR"/>
        </w:rPr>
        <w:t xml:space="preserve"> </w:t>
      </w:r>
      <w:hyperlink r:id="rId41" w:anchor="{&quot;appno&quot;:[&quot;46477/99&quot;]}" w:tgtFrame="_blank" w:history="1">
        <w:r w:rsidRPr="00B94E33">
          <w:rPr>
            <w:rFonts w:ascii="Times New Roman" w:eastAsia="Times New Roman" w:hAnsi="Times New Roman" w:cs="Times New Roman"/>
            <w:szCs w:val="24"/>
            <w:lang w:val="fr-FR"/>
          </w:rPr>
          <w:t>46477/99</w:t>
        </w:r>
      </w:hyperlink>
      <w:r w:rsidRPr="00B94E33">
        <w:rPr>
          <w:rFonts w:ascii="Times New Roman" w:eastAsia="Times New Roman" w:hAnsi="Times New Roman" w:cs="Times New Roman"/>
          <w:szCs w:val="24"/>
          <w:lang w:val="fr-FR"/>
        </w:rPr>
        <w:t>, §</w:t>
      </w:r>
      <w:r w:rsidR="004B08DB" w:rsidRPr="00B94E33">
        <w:rPr>
          <w:rFonts w:ascii="Times New Roman" w:eastAsia="Times New Roman" w:hAnsi="Times New Roman" w:cs="Times New Roman"/>
          <w:szCs w:val="24"/>
          <w:lang w:val="fr-FR"/>
        </w:rPr>
        <w:t> </w:t>
      </w:r>
      <w:r w:rsidRPr="00B94E33">
        <w:rPr>
          <w:rFonts w:ascii="Times New Roman" w:eastAsia="Times New Roman" w:hAnsi="Times New Roman" w:cs="Times New Roman"/>
          <w:szCs w:val="24"/>
          <w:lang w:val="fr-FR"/>
        </w:rPr>
        <w:t>86, CEDH 2002</w:t>
      </w:r>
      <w:r w:rsidRPr="00B94E33">
        <w:rPr>
          <w:rFonts w:ascii="Times New Roman" w:eastAsia="Times New Roman" w:hAnsi="Times New Roman" w:cs="Times New Roman"/>
          <w:szCs w:val="24"/>
          <w:lang w:val="fr-FR"/>
        </w:rPr>
        <w:noBreakHyphen/>
        <w:t>II).</w:t>
      </w:r>
    </w:p>
    <w:p w:rsidR="00E7096F" w:rsidRPr="00B94E33" w:rsidRDefault="00E7096F" w:rsidP="00B94E33">
      <w:pPr>
        <w:pStyle w:val="ECHRPara"/>
        <w:rPr>
          <w:rFonts w:ascii="Times New Roman" w:eastAsia="Times New Roman" w:hAnsi="Times New Roman" w:cs="Times New Roman"/>
          <w:szCs w:val="24"/>
          <w:lang w:val="fr-FR"/>
        </w:rPr>
      </w:pPr>
      <w:r w:rsidRPr="00B94E33">
        <w:rPr>
          <w:rFonts w:ascii="Times New Roman" w:eastAsia="Times New Roman" w:hAnsi="Times New Roman" w:cs="Times New Roman"/>
          <w:szCs w:val="24"/>
          <w:lang w:val="fr-FR"/>
        </w:rPr>
        <w:fldChar w:fldCharType="begin"/>
      </w:r>
      <w:r w:rsidRPr="00B94E33">
        <w:rPr>
          <w:rFonts w:ascii="Times New Roman" w:eastAsia="Times New Roman" w:hAnsi="Times New Roman" w:cs="Times New Roman"/>
          <w:szCs w:val="24"/>
          <w:lang w:val="fr-FR"/>
        </w:rPr>
        <w:instrText xml:space="preserve"> SEQ level0 \*arabic </w:instrText>
      </w:r>
      <w:r w:rsidRPr="00B94E33">
        <w:rPr>
          <w:rFonts w:ascii="Times New Roman" w:eastAsia="Times New Roman" w:hAnsi="Times New Roman" w:cs="Times New Roman"/>
          <w:szCs w:val="24"/>
          <w:lang w:val="fr-FR"/>
        </w:rPr>
        <w:fldChar w:fldCharType="separate"/>
      </w:r>
      <w:r w:rsidR="00B94E33" w:rsidRPr="00B94E33">
        <w:rPr>
          <w:rFonts w:ascii="Times New Roman" w:eastAsia="Times New Roman" w:hAnsi="Times New Roman" w:cs="Times New Roman"/>
          <w:noProof/>
          <w:szCs w:val="24"/>
          <w:lang w:val="fr-FR"/>
        </w:rPr>
        <w:t>129</w:t>
      </w:r>
      <w:r w:rsidRPr="00B94E33">
        <w:rPr>
          <w:rFonts w:ascii="Times New Roman" w:eastAsia="Times New Roman" w:hAnsi="Times New Roman" w:cs="Times New Roman"/>
          <w:szCs w:val="24"/>
          <w:lang w:val="fr-FR"/>
        </w:rPr>
        <w:fldChar w:fldCharType="end"/>
      </w:r>
      <w:r w:rsidRPr="00B94E33">
        <w:rPr>
          <w:rFonts w:ascii="Times New Roman" w:eastAsia="Times New Roman" w:hAnsi="Times New Roman" w:cs="Times New Roman"/>
          <w:szCs w:val="24"/>
          <w:lang w:val="fr-FR"/>
        </w:rPr>
        <w:t>.  La Cour insiste à nouveau sur la diligence particulière que requiert le traitement des plaintes pour violences domestiques et estime que les spécificités des faits de violences domestiques telles que reconnues dans le préambule de la Convention d</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 xml:space="preserve">Istanbul (paragraphe </w:t>
      </w:r>
      <w:r w:rsidRPr="00B94E33">
        <w:rPr>
          <w:rFonts w:ascii="Times New Roman" w:eastAsia="Times New Roman" w:hAnsi="Times New Roman" w:cs="Times New Roman"/>
          <w:szCs w:val="24"/>
          <w:lang w:val="fr-FR"/>
        </w:rPr>
        <w:fldChar w:fldCharType="begin"/>
      </w:r>
      <w:r w:rsidRPr="00B94E33">
        <w:rPr>
          <w:rFonts w:ascii="Times New Roman" w:eastAsia="Times New Roman" w:hAnsi="Times New Roman" w:cs="Times New Roman"/>
          <w:szCs w:val="24"/>
          <w:lang w:val="fr-FR"/>
        </w:rPr>
        <w:instrText xml:space="preserve"> REF para62 \h  \* MERGEFORMAT </w:instrText>
      </w:r>
      <w:r w:rsidRPr="00B94E33">
        <w:rPr>
          <w:rFonts w:ascii="Times New Roman" w:eastAsia="Times New Roman" w:hAnsi="Times New Roman" w:cs="Times New Roman"/>
          <w:szCs w:val="24"/>
          <w:lang w:val="fr-FR"/>
        </w:rPr>
      </w:r>
      <w:r w:rsidRPr="00B94E33">
        <w:rPr>
          <w:rFonts w:ascii="Times New Roman" w:eastAsia="Times New Roman" w:hAnsi="Times New Roman" w:cs="Times New Roman"/>
          <w:szCs w:val="24"/>
          <w:lang w:val="fr-FR"/>
        </w:rPr>
        <w:fldChar w:fldCharType="separate"/>
      </w:r>
      <w:r w:rsidR="00B94E33" w:rsidRPr="00B94E33">
        <w:rPr>
          <w:noProof/>
          <w:lang w:val="fr-FR"/>
        </w:rPr>
        <w:t>58</w:t>
      </w:r>
      <w:r w:rsidRPr="00B94E33">
        <w:rPr>
          <w:rFonts w:ascii="Times New Roman" w:eastAsia="Times New Roman" w:hAnsi="Times New Roman" w:cs="Times New Roman"/>
          <w:szCs w:val="24"/>
          <w:lang w:val="fr-FR"/>
        </w:rPr>
        <w:fldChar w:fldCharType="end"/>
      </w:r>
      <w:r w:rsidRPr="00B94E33">
        <w:rPr>
          <w:rFonts w:ascii="Times New Roman" w:eastAsia="Times New Roman" w:hAnsi="Times New Roman" w:cs="Times New Roman"/>
          <w:szCs w:val="24"/>
          <w:lang w:val="fr-FR"/>
        </w:rPr>
        <w:t xml:space="preserve"> ci-dessus) doivent être prises en compte dans le cadre des procédures internes.</w:t>
      </w:r>
    </w:p>
    <w:p w:rsidR="00E7096F" w:rsidRPr="00B94E33" w:rsidRDefault="00E7096F" w:rsidP="00B94E33">
      <w:pPr>
        <w:pStyle w:val="ECHRPara"/>
        <w:rPr>
          <w:rFonts w:ascii="Times New Roman" w:eastAsia="Times New Roman" w:hAnsi="Times New Roman" w:cs="Times New Roman"/>
          <w:szCs w:val="24"/>
          <w:lang w:val="fr-FR"/>
        </w:rPr>
      </w:pPr>
      <w:r w:rsidRPr="00B94E33">
        <w:rPr>
          <w:rFonts w:ascii="Times New Roman" w:eastAsia="Times New Roman" w:hAnsi="Times New Roman" w:cs="Times New Roman"/>
          <w:szCs w:val="24"/>
          <w:lang w:val="fr-FR"/>
        </w:rPr>
        <w:t>Elle souligne en ce sens que la Convention d</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Istanbul impose aux États parties de prendre « les mesures législatives et autres nécessaires pour que les enquêtes et les procédures judiciaires relatives à toutes les formes de violences couvertes par le champ d</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application de la (...) Convention soient traitées sans retard injustifié tout en prenant en considération les droits de la victime à toutes les étapes des procédures pénales ».</w:t>
      </w:r>
    </w:p>
    <w:p w:rsidR="00E7096F" w:rsidRPr="00B94E33" w:rsidRDefault="00E7096F" w:rsidP="00B94E33">
      <w:pPr>
        <w:pStyle w:val="ECHRPara"/>
        <w:rPr>
          <w:rFonts w:ascii="Times New Roman" w:eastAsia="Times New Roman" w:hAnsi="Times New Roman" w:cs="Times New Roman"/>
          <w:szCs w:val="24"/>
          <w:lang w:val="fr-FR"/>
        </w:rPr>
      </w:pPr>
      <w:r w:rsidRPr="00B94E33">
        <w:rPr>
          <w:rFonts w:ascii="Times New Roman" w:eastAsia="Times New Roman" w:hAnsi="Times New Roman" w:cs="Times New Roman"/>
          <w:szCs w:val="24"/>
          <w:lang w:val="fr-FR"/>
        </w:rPr>
        <w:fldChar w:fldCharType="begin"/>
      </w:r>
      <w:r w:rsidRPr="00B94E33">
        <w:rPr>
          <w:rFonts w:ascii="Times New Roman" w:eastAsia="Times New Roman" w:hAnsi="Times New Roman" w:cs="Times New Roman"/>
          <w:szCs w:val="24"/>
          <w:lang w:val="fr-FR"/>
        </w:rPr>
        <w:instrText xml:space="preserve"> SEQ level0 \*arabic </w:instrText>
      </w:r>
      <w:r w:rsidRPr="00B94E33">
        <w:rPr>
          <w:rFonts w:ascii="Times New Roman" w:eastAsia="Times New Roman" w:hAnsi="Times New Roman" w:cs="Times New Roman"/>
          <w:szCs w:val="24"/>
          <w:lang w:val="fr-FR"/>
        </w:rPr>
        <w:fldChar w:fldCharType="separate"/>
      </w:r>
      <w:r w:rsidR="00B94E33" w:rsidRPr="00B94E33">
        <w:rPr>
          <w:rFonts w:ascii="Times New Roman" w:eastAsia="Times New Roman" w:hAnsi="Times New Roman" w:cs="Times New Roman"/>
          <w:noProof/>
          <w:szCs w:val="24"/>
          <w:lang w:val="fr-FR"/>
        </w:rPr>
        <w:t>130</w:t>
      </w:r>
      <w:r w:rsidRPr="00B94E33">
        <w:rPr>
          <w:rFonts w:ascii="Times New Roman" w:eastAsia="Times New Roman" w:hAnsi="Times New Roman" w:cs="Times New Roman"/>
          <w:szCs w:val="24"/>
          <w:lang w:val="fr-FR"/>
        </w:rPr>
        <w:fldChar w:fldCharType="end"/>
      </w:r>
      <w:r w:rsidRPr="00B94E33">
        <w:rPr>
          <w:rFonts w:ascii="Times New Roman" w:eastAsia="Times New Roman" w:hAnsi="Times New Roman" w:cs="Times New Roman"/>
          <w:szCs w:val="24"/>
          <w:lang w:val="fr-FR"/>
        </w:rPr>
        <w:t>.  À cet égard, la Cour estime également que, dans le traitement judiciaire du contentieux des violences contre les femmes, il incombe aux instances nationales de tenir compte de la situation de précarité et de vulnérabilité particulière, morale, physique et/ou matérielle de la victime, et d</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apprécier la situation en conséquence, dans les plus brefs délais. En l</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espèce, rien ne saurait expliquer la passivité des autorités pendant une période aussi longue – sept mois – avant le déclenchement des poursuites pénales. De même, rien ne saurait expliquer pourquoi la procédure pénale pour lésions corporelles aggravées engagée après la plainte déposée par la requérante a duré trois ans, pour s</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achever le 1</w:t>
      </w:r>
      <w:r w:rsidRPr="00B94E33">
        <w:rPr>
          <w:rFonts w:ascii="Times New Roman" w:eastAsia="Times New Roman" w:hAnsi="Times New Roman" w:cs="Times New Roman"/>
          <w:szCs w:val="24"/>
          <w:vertAlign w:val="superscript"/>
          <w:lang w:val="fr-FR"/>
        </w:rPr>
        <w:t>er</w:t>
      </w:r>
      <w:r w:rsidRPr="00B94E33">
        <w:rPr>
          <w:rFonts w:ascii="Times New Roman" w:eastAsia="Times New Roman" w:hAnsi="Times New Roman" w:cs="Times New Roman"/>
          <w:szCs w:val="24"/>
          <w:lang w:val="fr-FR"/>
        </w:rPr>
        <w:t xml:space="preserve"> octobre 2015.</w:t>
      </w:r>
    </w:p>
    <w:bookmarkStart w:id="23" w:name="para130"/>
    <w:p w:rsidR="00E7096F" w:rsidRPr="00B94E33" w:rsidRDefault="009E5CD4" w:rsidP="00B94E33">
      <w:pPr>
        <w:pStyle w:val="ECHRPara"/>
        <w:rPr>
          <w:rFonts w:ascii="Times New Roman" w:eastAsia="Times New Roman" w:hAnsi="Times New Roman" w:cs="Times New Roman"/>
          <w:szCs w:val="24"/>
          <w:lang w:val="fr-FR"/>
        </w:rPr>
      </w:pPr>
      <w:r w:rsidRPr="00B94E33">
        <w:rPr>
          <w:rFonts w:ascii="Times New Roman" w:eastAsia="Times New Roman" w:hAnsi="Times New Roman" w:cs="Times New Roman"/>
          <w:szCs w:val="24"/>
          <w:lang w:val="fr-FR"/>
        </w:rPr>
        <w:fldChar w:fldCharType="begin"/>
      </w:r>
      <w:r w:rsidRPr="00B94E33">
        <w:rPr>
          <w:rFonts w:ascii="Times New Roman" w:eastAsia="Times New Roman" w:hAnsi="Times New Roman" w:cs="Times New Roman"/>
          <w:szCs w:val="24"/>
          <w:lang w:val="fr-FR"/>
        </w:rPr>
        <w:instrText xml:space="preserve"> SEQ level0 \*arabic </w:instrText>
      </w:r>
      <w:r w:rsidRPr="00B94E33">
        <w:rPr>
          <w:rFonts w:ascii="Times New Roman" w:eastAsia="Times New Roman" w:hAnsi="Times New Roman" w:cs="Times New Roman"/>
          <w:szCs w:val="24"/>
          <w:lang w:val="fr-FR"/>
        </w:rPr>
        <w:fldChar w:fldCharType="separate"/>
      </w:r>
      <w:r w:rsidR="00B94E33" w:rsidRPr="00B94E33">
        <w:rPr>
          <w:rFonts w:ascii="Times New Roman" w:eastAsia="Times New Roman" w:hAnsi="Times New Roman" w:cs="Times New Roman"/>
          <w:noProof/>
          <w:szCs w:val="24"/>
          <w:lang w:val="fr-FR"/>
        </w:rPr>
        <w:t>131</w:t>
      </w:r>
      <w:r w:rsidRPr="00B94E33">
        <w:rPr>
          <w:rFonts w:ascii="Times New Roman" w:eastAsia="Times New Roman" w:hAnsi="Times New Roman" w:cs="Times New Roman"/>
          <w:szCs w:val="24"/>
          <w:lang w:val="fr-FR"/>
        </w:rPr>
        <w:fldChar w:fldCharType="end"/>
      </w:r>
      <w:r w:rsidRPr="00B94E33">
        <w:rPr>
          <w:rFonts w:ascii="Times New Roman" w:eastAsia="Times New Roman" w:hAnsi="Times New Roman" w:cs="Times New Roman"/>
          <w:szCs w:val="24"/>
          <w:lang w:val="fr-FR"/>
        </w:rPr>
        <w:t>.  </w:t>
      </w:r>
      <w:bookmarkEnd w:id="23"/>
      <w:r w:rsidR="00E7096F" w:rsidRPr="00B94E33">
        <w:rPr>
          <w:rFonts w:ascii="Times New Roman" w:eastAsia="Times New Roman" w:hAnsi="Times New Roman" w:cs="Times New Roman"/>
          <w:szCs w:val="24"/>
          <w:lang w:val="fr-FR"/>
        </w:rPr>
        <w:t>Au regard des constats opérés en l</w:t>
      </w:r>
      <w:r w:rsidR="00B94E33" w:rsidRPr="00B94E33">
        <w:rPr>
          <w:rFonts w:ascii="Times New Roman" w:eastAsia="Times New Roman" w:hAnsi="Times New Roman" w:cs="Times New Roman"/>
          <w:szCs w:val="24"/>
          <w:lang w:val="fr-FR"/>
        </w:rPr>
        <w:t>’</w:t>
      </w:r>
      <w:r w:rsidR="00E7096F" w:rsidRPr="00B94E33">
        <w:rPr>
          <w:rFonts w:ascii="Times New Roman" w:eastAsia="Times New Roman" w:hAnsi="Times New Roman" w:cs="Times New Roman"/>
          <w:szCs w:val="24"/>
          <w:lang w:val="fr-FR"/>
        </w:rPr>
        <w:t xml:space="preserve">espèce, la Cour estime que la manière dont les autorités internes ont mené les poursuites pénales dans la </w:t>
      </w:r>
      <w:r w:rsidR="00E7096F" w:rsidRPr="00B94E33">
        <w:rPr>
          <w:rFonts w:ascii="Times New Roman" w:eastAsia="Times New Roman" w:hAnsi="Times New Roman" w:cs="Times New Roman"/>
          <w:szCs w:val="24"/>
          <w:lang w:val="fr-FR"/>
        </w:rPr>
        <w:lastRenderedPageBreak/>
        <w:t>présente affaire participe également de cette passivité judiciaire et ne saurait passer pour satisfaire aux exigences de l</w:t>
      </w:r>
      <w:r w:rsidR="00B94E33" w:rsidRPr="00B94E33">
        <w:rPr>
          <w:rFonts w:ascii="Times New Roman" w:eastAsia="Times New Roman" w:hAnsi="Times New Roman" w:cs="Times New Roman"/>
          <w:szCs w:val="24"/>
          <w:lang w:val="fr-FR"/>
        </w:rPr>
        <w:t>’</w:t>
      </w:r>
      <w:r w:rsidR="00E7096F" w:rsidRPr="00B94E33">
        <w:rPr>
          <w:rFonts w:ascii="Times New Roman" w:eastAsia="Times New Roman" w:hAnsi="Times New Roman" w:cs="Times New Roman"/>
          <w:szCs w:val="24"/>
          <w:lang w:val="fr-FR"/>
        </w:rPr>
        <w:t>article 3 de la Convention.</w:t>
      </w:r>
    </w:p>
    <w:p w:rsidR="00E7096F" w:rsidRPr="00B94E33" w:rsidRDefault="00E7096F" w:rsidP="00B94E33">
      <w:pPr>
        <w:pStyle w:val="ECHRPara"/>
        <w:rPr>
          <w:rFonts w:ascii="Times New Roman" w:eastAsia="Times New Roman" w:hAnsi="Times New Roman" w:cs="Times New Roman"/>
          <w:szCs w:val="24"/>
          <w:lang w:val="fr-FR"/>
        </w:rPr>
      </w:pPr>
      <w:r w:rsidRPr="00B94E33">
        <w:rPr>
          <w:rFonts w:ascii="Times New Roman" w:eastAsia="Times New Roman" w:hAnsi="Times New Roman" w:cs="Times New Roman"/>
          <w:szCs w:val="24"/>
          <w:lang w:val="fr-FR"/>
        </w:rPr>
        <w:fldChar w:fldCharType="begin"/>
      </w:r>
      <w:r w:rsidRPr="00B94E33">
        <w:rPr>
          <w:rFonts w:ascii="Times New Roman" w:eastAsia="Times New Roman" w:hAnsi="Times New Roman" w:cs="Times New Roman"/>
          <w:szCs w:val="24"/>
          <w:lang w:val="fr-FR"/>
        </w:rPr>
        <w:instrText xml:space="preserve"> SEQ level0 \*arabic </w:instrText>
      </w:r>
      <w:r w:rsidRPr="00B94E33">
        <w:rPr>
          <w:rFonts w:ascii="Times New Roman" w:eastAsia="Times New Roman" w:hAnsi="Times New Roman" w:cs="Times New Roman"/>
          <w:szCs w:val="24"/>
          <w:lang w:val="fr-FR"/>
        </w:rPr>
        <w:fldChar w:fldCharType="separate"/>
      </w:r>
      <w:r w:rsidR="00B94E33" w:rsidRPr="00B94E33">
        <w:rPr>
          <w:rFonts w:ascii="Times New Roman" w:eastAsia="Times New Roman" w:hAnsi="Times New Roman" w:cs="Times New Roman"/>
          <w:noProof/>
          <w:szCs w:val="24"/>
          <w:lang w:val="fr-FR"/>
        </w:rPr>
        <w:t>132</w:t>
      </w:r>
      <w:r w:rsidRPr="00B94E33">
        <w:rPr>
          <w:rFonts w:ascii="Times New Roman" w:eastAsia="Times New Roman" w:hAnsi="Times New Roman" w:cs="Times New Roman"/>
          <w:szCs w:val="24"/>
          <w:lang w:val="fr-FR"/>
        </w:rPr>
        <w:fldChar w:fldCharType="end"/>
      </w:r>
      <w:r w:rsidRPr="00B94E33">
        <w:rPr>
          <w:rFonts w:ascii="Times New Roman" w:eastAsia="Times New Roman" w:hAnsi="Times New Roman" w:cs="Times New Roman"/>
          <w:szCs w:val="24"/>
          <w:lang w:val="fr-FR"/>
        </w:rPr>
        <w:t>.  Estimant que le recours propre à remédier, d</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après le Gouvernement, au grief fondé sur l</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 xml:space="preserve">article 3 de la Convention </w:t>
      </w:r>
      <w:r w:rsidR="007C4928" w:rsidRPr="00B94E33">
        <w:rPr>
          <w:rFonts w:ascii="Times New Roman" w:eastAsia="Times New Roman" w:hAnsi="Times New Roman" w:cs="Times New Roman"/>
          <w:szCs w:val="24"/>
          <w:lang w:val="fr-FR"/>
        </w:rPr>
        <w:t>ne s</w:t>
      </w:r>
      <w:r w:rsidR="00B94E33" w:rsidRPr="00B94E33">
        <w:rPr>
          <w:rFonts w:ascii="Times New Roman" w:eastAsia="Times New Roman" w:hAnsi="Times New Roman" w:cs="Times New Roman"/>
          <w:szCs w:val="24"/>
          <w:lang w:val="fr-FR"/>
        </w:rPr>
        <w:t>’</w:t>
      </w:r>
      <w:r w:rsidR="007C4928" w:rsidRPr="00B94E33">
        <w:rPr>
          <w:rFonts w:ascii="Times New Roman" w:eastAsia="Times New Roman" w:hAnsi="Times New Roman" w:cs="Times New Roman"/>
          <w:szCs w:val="24"/>
          <w:lang w:val="fr-FR"/>
        </w:rPr>
        <w:t>est pas révélé efficace en l</w:t>
      </w:r>
      <w:r w:rsidR="00B94E33" w:rsidRPr="00B94E33">
        <w:rPr>
          <w:rFonts w:ascii="Times New Roman" w:eastAsia="Times New Roman" w:hAnsi="Times New Roman" w:cs="Times New Roman"/>
          <w:szCs w:val="24"/>
          <w:lang w:val="fr-FR"/>
        </w:rPr>
        <w:t>’</w:t>
      </w:r>
      <w:r w:rsidR="007C4928" w:rsidRPr="00B94E33">
        <w:rPr>
          <w:rFonts w:ascii="Times New Roman" w:eastAsia="Times New Roman" w:hAnsi="Times New Roman" w:cs="Times New Roman"/>
          <w:szCs w:val="24"/>
          <w:lang w:val="fr-FR"/>
        </w:rPr>
        <w:t>espèce,</w:t>
      </w:r>
      <w:r w:rsidRPr="00B94E33">
        <w:rPr>
          <w:rFonts w:ascii="Times New Roman" w:eastAsia="Times New Roman" w:hAnsi="Times New Roman" w:cs="Times New Roman"/>
          <w:szCs w:val="24"/>
          <w:lang w:val="fr-FR"/>
        </w:rPr>
        <w:t xml:space="preserve"> la Cour rejette l</w:t>
      </w:r>
      <w:r w:rsidR="00B94E33" w:rsidRPr="00B94E33">
        <w:rPr>
          <w:rFonts w:ascii="Times New Roman" w:eastAsia="Times New Roman" w:hAnsi="Times New Roman" w:cs="Times New Roman"/>
          <w:szCs w:val="24"/>
          <w:lang w:val="fr-FR"/>
        </w:rPr>
        <w:t>’</w:t>
      </w:r>
      <w:r w:rsidRPr="00B94E33">
        <w:rPr>
          <w:rFonts w:ascii="Times New Roman" w:eastAsia="Times New Roman" w:hAnsi="Times New Roman" w:cs="Times New Roman"/>
          <w:szCs w:val="24"/>
          <w:lang w:val="fr-FR"/>
        </w:rPr>
        <w:t>exception de non-épuisement formulée par lui (paragraphe </w:t>
      </w:r>
      <w:r w:rsidRPr="00B94E33">
        <w:rPr>
          <w:rFonts w:ascii="Times New Roman" w:eastAsia="Times New Roman" w:hAnsi="Times New Roman" w:cs="Times New Roman"/>
          <w:szCs w:val="24"/>
          <w:lang w:val="fr-FR"/>
        </w:rPr>
        <w:fldChar w:fldCharType="begin"/>
      </w:r>
      <w:r w:rsidRPr="00B94E33">
        <w:rPr>
          <w:rFonts w:ascii="Times New Roman" w:eastAsia="Times New Roman" w:hAnsi="Times New Roman" w:cs="Times New Roman"/>
          <w:szCs w:val="24"/>
          <w:lang w:val="fr-FR"/>
        </w:rPr>
        <w:instrText xml:space="preserve"> REF para72 \h  \* MERGEFORMAT </w:instrText>
      </w:r>
      <w:r w:rsidRPr="00B94E33">
        <w:rPr>
          <w:rFonts w:ascii="Times New Roman" w:eastAsia="Times New Roman" w:hAnsi="Times New Roman" w:cs="Times New Roman"/>
          <w:szCs w:val="24"/>
          <w:lang w:val="fr-FR"/>
        </w:rPr>
      </w:r>
      <w:r w:rsidRPr="00B94E33">
        <w:rPr>
          <w:rFonts w:ascii="Times New Roman" w:eastAsia="Times New Roman" w:hAnsi="Times New Roman" w:cs="Times New Roman"/>
          <w:szCs w:val="24"/>
          <w:lang w:val="fr-FR"/>
        </w:rPr>
        <w:fldChar w:fldCharType="separate"/>
      </w:r>
      <w:r w:rsidR="00B94E33" w:rsidRPr="00B94E33">
        <w:rPr>
          <w:noProof/>
          <w:lang w:val="fr-FR"/>
        </w:rPr>
        <w:t>68</w:t>
      </w:r>
      <w:r w:rsidRPr="00B94E33">
        <w:rPr>
          <w:rFonts w:ascii="Times New Roman" w:eastAsia="Times New Roman" w:hAnsi="Times New Roman" w:cs="Times New Roman"/>
          <w:szCs w:val="24"/>
          <w:lang w:val="fr-FR"/>
        </w:rPr>
        <w:fldChar w:fldCharType="end"/>
      </w:r>
      <w:r w:rsidRPr="00B94E33">
        <w:rPr>
          <w:rFonts w:ascii="Times New Roman" w:eastAsia="Times New Roman" w:hAnsi="Times New Roman" w:cs="Times New Roman"/>
          <w:szCs w:val="24"/>
          <w:lang w:val="fr-FR"/>
        </w:rPr>
        <w:t xml:space="preserve"> ci-dessus)</w:t>
      </w:r>
      <w:r w:rsidR="00F83438" w:rsidRPr="00B94E33">
        <w:rPr>
          <w:rFonts w:ascii="Times New Roman" w:eastAsia="Times New Roman" w:hAnsi="Times New Roman" w:cs="Times New Roman"/>
          <w:szCs w:val="24"/>
          <w:lang w:val="fr-FR"/>
        </w:rPr>
        <w:t xml:space="preserve"> et conclut </w:t>
      </w:r>
      <w:r w:rsidR="00F83438" w:rsidRPr="00B94E33">
        <w:rPr>
          <w:lang w:val="fr-FR"/>
        </w:rPr>
        <w:t>qu</w:t>
      </w:r>
      <w:r w:rsidR="00B94E33" w:rsidRPr="00B94E33">
        <w:rPr>
          <w:lang w:val="fr-FR"/>
        </w:rPr>
        <w:t>’</w:t>
      </w:r>
      <w:r w:rsidR="00F83438" w:rsidRPr="00B94E33">
        <w:rPr>
          <w:lang w:val="fr-FR"/>
        </w:rPr>
        <w:t>il y a eu violation de l</w:t>
      </w:r>
      <w:r w:rsidR="00B94E33" w:rsidRPr="00B94E33">
        <w:rPr>
          <w:lang w:val="fr-FR"/>
        </w:rPr>
        <w:t>’</w:t>
      </w:r>
      <w:r w:rsidR="00F83438" w:rsidRPr="00B94E33">
        <w:rPr>
          <w:lang w:val="fr-FR"/>
        </w:rPr>
        <w:t>article 3 de la Convention</w:t>
      </w:r>
    </w:p>
    <w:p w:rsidR="00E77CB3" w:rsidRPr="00B94E33" w:rsidRDefault="007D71DD" w:rsidP="00B94E33">
      <w:pPr>
        <w:pStyle w:val="ECHRHeading1"/>
        <w:rPr>
          <w:lang w:val="fr-FR"/>
        </w:rPr>
      </w:pPr>
      <w:r w:rsidRPr="00B94E33">
        <w:rPr>
          <w:lang w:val="fr-FR"/>
        </w:rPr>
        <w:t>I</w:t>
      </w:r>
      <w:r w:rsidR="0049587C" w:rsidRPr="00B94E33">
        <w:rPr>
          <w:lang w:val="fr-FR"/>
        </w:rPr>
        <w:t>II</w:t>
      </w:r>
      <w:r w:rsidR="00E77CB3" w:rsidRPr="00B94E33">
        <w:rPr>
          <w:lang w:val="fr-FR"/>
        </w:rPr>
        <w:t>.  </w:t>
      </w:r>
      <w:r w:rsidR="009741FD" w:rsidRPr="00B94E33">
        <w:rPr>
          <w:lang w:val="fr-FR"/>
        </w:rPr>
        <w:t>SUR LA VIOLATION ALLÉGUÉE DE L</w:t>
      </w:r>
      <w:r w:rsidR="00B94E33" w:rsidRPr="00B94E33">
        <w:rPr>
          <w:lang w:val="fr-FR"/>
        </w:rPr>
        <w:t>’</w:t>
      </w:r>
      <w:r w:rsidR="009741FD" w:rsidRPr="00B94E33">
        <w:rPr>
          <w:lang w:val="fr-FR"/>
        </w:rPr>
        <w:t>ARTICLE 14 DE LA CONVENTION COMBINÉ AVEC LES ARTICLES 2 ET 3</w:t>
      </w:r>
    </w:p>
    <w:p w:rsidR="00913952" w:rsidRPr="00B94E33" w:rsidRDefault="00F83438"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133</w:t>
      </w:r>
      <w:r w:rsidRPr="00B94E33">
        <w:rPr>
          <w:lang w:val="fr-FR"/>
        </w:rPr>
        <w:fldChar w:fldCharType="end"/>
      </w:r>
      <w:r w:rsidRPr="00B94E33">
        <w:rPr>
          <w:lang w:val="fr-FR"/>
        </w:rPr>
        <w:t>.  </w:t>
      </w:r>
      <w:r w:rsidR="00913952" w:rsidRPr="00B94E33">
        <w:rPr>
          <w:lang w:val="fr-FR"/>
        </w:rPr>
        <w:t>Invoquant l</w:t>
      </w:r>
      <w:r w:rsidR="00B94E33" w:rsidRPr="00B94E33">
        <w:rPr>
          <w:lang w:val="fr-FR"/>
        </w:rPr>
        <w:t>’</w:t>
      </w:r>
      <w:r w:rsidR="00913952" w:rsidRPr="00B94E33">
        <w:rPr>
          <w:lang w:val="fr-FR"/>
        </w:rPr>
        <w:t xml:space="preserve">article 14 </w:t>
      </w:r>
      <w:r w:rsidR="004B032F" w:rsidRPr="00B94E33">
        <w:rPr>
          <w:lang w:val="fr-FR"/>
        </w:rPr>
        <w:t xml:space="preserve">de la Convention </w:t>
      </w:r>
      <w:r w:rsidR="00913952" w:rsidRPr="00B94E33">
        <w:rPr>
          <w:lang w:val="fr-FR"/>
        </w:rPr>
        <w:t xml:space="preserve">combiné avec les articles 2 </w:t>
      </w:r>
      <w:r w:rsidR="00DC5E2D" w:rsidRPr="00B94E33">
        <w:rPr>
          <w:lang w:val="fr-FR"/>
        </w:rPr>
        <w:t xml:space="preserve">et </w:t>
      </w:r>
      <w:r w:rsidR="00913952" w:rsidRPr="00B94E33">
        <w:rPr>
          <w:lang w:val="fr-FR"/>
        </w:rPr>
        <w:t xml:space="preserve">3, la requérante </w:t>
      </w:r>
      <w:r w:rsidR="004B032F" w:rsidRPr="00B94E33">
        <w:rPr>
          <w:lang w:val="fr-FR"/>
        </w:rPr>
        <w:t>soutient</w:t>
      </w:r>
      <w:r w:rsidR="006167B6" w:rsidRPr="00B94E33">
        <w:rPr>
          <w:lang w:val="fr-FR"/>
        </w:rPr>
        <w:t>, d</w:t>
      </w:r>
      <w:r w:rsidR="00B94E33" w:rsidRPr="00B94E33">
        <w:rPr>
          <w:lang w:val="fr-FR"/>
        </w:rPr>
        <w:t>’</w:t>
      </w:r>
      <w:r w:rsidR="006167B6" w:rsidRPr="00B94E33">
        <w:rPr>
          <w:lang w:val="fr-FR"/>
        </w:rPr>
        <w:t>une part,</w:t>
      </w:r>
      <w:r w:rsidR="00913952" w:rsidRPr="00B94E33">
        <w:rPr>
          <w:lang w:val="fr-FR"/>
        </w:rPr>
        <w:t xml:space="preserve"> que les omissions des autorités italiennes </w:t>
      </w:r>
      <w:r w:rsidR="004B032F" w:rsidRPr="00B94E33">
        <w:rPr>
          <w:lang w:val="fr-FR"/>
        </w:rPr>
        <w:t xml:space="preserve">prouvent </w:t>
      </w:r>
      <w:r w:rsidR="00913952" w:rsidRPr="00B94E33">
        <w:rPr>
          <w:lang w:val="fr-FR"/>
        </w:rPr>
        <w:t xml:space="preserve">la discrimination dont elle </w:t>
      </w:r>
      <w:r w:rsidR="0047000D" w:rsidRPr="00B94E33">
        <w:rPr>
          <w:lang w:val="fr-FR"/>
        </w:rPr>
        <w:t xml:space="preserve">ferait </w:t>
      </w:r>
      <w:r w:rsidR="00913952" w:rsidRPr="00B94E33">
        <w:rPr>
          <w:lang w:val="fr-FR"/>
        </w:rPr>
        <w:t>l</w:t>
      </w:r>
      <w:r w:rsidR="00B94E33" w:rsidRPr="00B94E33">
        <w:rPr>
          <w:lang w:val="fr-FR"/>
        </w:rPr>
        <w:t>’</w:t>
      </w:r>
      <w:r w:rsidR="00913952" w:rsidRPr="00B94E33">
        <w:rPr>
          <w:lang w:val="fr-FR"/>
        </w:rPr>
        <w:t>objet en tant que femme</w:t>
      </w:r>
      <w:r w:rsidR="00A24CD4" w:rsidRPr="00B94E33">
        <w:rPr>
          <w:lang w:val="fr-FR"/>
        </w:rPr>
        <w:t xml:space="preserve"> et</w:t>
      </w:r>
      <w:r w:rsidR="006167B6" w:rsidRPr="00B94E33">
        <w:rPr>
          <w:lang w:val="fr-FR"/>
        </w:rPr>
        <w:t>, d</w:t>
      </w:r>
      <w:r w:rsidR="00B94E33" w:rsidRPr="00B94E33">
        <w:rPr>
          <w:lang w:val="fr-FR"/>
        </w:rPr>
        <w:t>’</w:t>
      </w:r>
      <w:r w:rsidR="006167B6" w:rsidRPr="00B94E33">
        <w:rPr>
          <w:lang w:val="fr-FR"/>
        </w:rPr>
        <w:t>autre part,</w:t>
      </w:r>
      <w:r w:rsidR="00A24CD4" w:rsidRPr="00B94E33">
        <w:rPr>
          <w:lang w:val="fr-FR"/>
        </w:rPr>
        <w:t xml:space="preserve"> que</w:t>
      </w:r>
      <w:r w:rsidR="00913952" w:rsidRPr="00B94E33">
        <w:rPr>
          <w:lang w:val="fr-FR"/>
        </w:rPr>
        <w:t xml:space="preserve"> l</w:t>
      </w:r>
      <w:r w:rsidR="00B94E33" w:rsidRPr="00B94E33">
        <w:rPr>
          <w:lang w:val="fr-FR"/>
        </w:rPr>
        <w:t>’</w:t>
      </w:r>
      <w:r w:rsidR="00913952" w:rsidRPr="00B94E33">
        <w:rPr>
          <w:lang w:val="fr-FR"/>
        </w:rPr>
        <w:t xml:space="preserve">appareil législatif interne en matière de lutte contre les violences domestiques </w:t>
      </w:r>
      <w:r w:rsidR="00A24CD4" w:rsidRPr="00B94E33">
        <w:rPr>
          <w:lang w:val="fr-FR"/>
        </w:rPr>
        <w:t>n</w:t>
      </w:r>
      <w:r w:rsidR="00B94E33" w:rsidRPr="00B94E33">
        <w:rPr>
          <w:lang w:val="fr-FR"/>
        </w:rPr>
        <w:t>’</w:t>
      </w:r>
      <w:r w:rsidR="00A24CD4" w:rsidRPr="00B94E33">
        <w:rPr>
          <w:lang w:val="fr-FR"/>
        </w:rPr>
        <w:t xml:space="preserve">est </w:t>
      </w:r>
      <w:r w:rsidR="00913952" w:rsidRPr="00B94E33">
        <w:rPr>
          <w:lang w:val="fr-FR"/>
        </w:rPr>
        <w:t>pas approprié.</w:t>
      </w:r>
    </w:p>
    <w:p w:rsidR="009741FD" w:rsidRPr="00B94E33" w:rsidRDefault="009741FD" w:rsidP="00B94E33">
      <w:pPr>
        <w:pStyle w:val="ECHRPara"/>
        <w:rPr>
          <w:lang w:val="fr-FR"/>
        </w:rPr>
      </w:pPr>
      <w:r w:rsidRPr="00B94E33">
        <w:rPr>
          <w:lang w:val="fr-FR"/>
        </w:rPr>
        <w:t>L</w:t>
      </w:r>
      <w:r w:rsidR="00B94E33" w:rsidRPr="00B94E33">
        <w:rPr>
          <w:lang w:val="fr-FR"/>
        </w:rPr>
        <w:t>’</w:t>
      </w:r>
      <w:r w:rsidRPr="00B94E33">
        <w:rPr>
          <w:lang w:val="fr-FR"/>
        </w:rPr>
        <w:t>article 14 de la Convention est ainsi libellé :</w:t>
      </w:r>
    </w:p>
    <w:p w:rsidR="009741FD" w:rsidRPr="00B94E33" w:rsidRDefault="009A4363" w:rsidP="00B94E33">
      <w:pPr>
        <w:pStyle w:val="JuQuotSub"/>
        <w:rPr>
          <w:lang w:val="fr-FR"/>
        </w:rPr>
      </w:pPr>
      <w:r w:rsidRPr="00B94E33">
        <w:rPr>
          <w:lang w:val="fr-FR"/>
        </w:rPr>
        <w:t>« </w:t>
      </w:r>
      <w:r w:rsidR="009741FD" w:rsidRPr="00B94E33">
        <w:rPr>
          <w:lang w:val="fr-FR"/>
        </w:rPr>
        <w:t>La jouissance des droits et libertés reconnus dans la (...) Convention doit être assurée, sans distinction aucune, fondée notamment sur le sexe, la race, la couleur, la langue, la religion, les opinions politiques ou toutes autres opinions, l</w:t>
      </w:r>
      <w:r w:rsidR="00B94E33" w:rsidRPr="00B94E33">
        <w:rPr>
          <w:lang w:val="fr-FR"/>
        </w:rPr>
        <w:t>’</w:t>
      </w:r>
      <w:r w:rsidR="009741FD" w:rsidRPr="00B94E33">
        <w:rPr>
          <w:lang w:val="fr-FR"/>
        </w:rPr>
        <w:t>origine nationale ou sociale, l</w:t>
      </w:r>
      <w:r w:rsidR="00B94E33" w:rsidRPr="00B94E33">
        <w:rPr>
          <w:lang w:val="fr-FR"/>
        </w:rPr>
        <w:t>’</w:t>
      </w:r>
      <w:r w:rsidR="009741FD" w:rsidRPr="00B94E33">
        <w:rPr>
          <w:lang w:val="fr-FR"/>
        </w:rPr>
        <w:t>appartenance à une minorité nationale, la fortune, la naissance ou toute autre situ</w:t>
      </w:r>
      <w:r w:rsidRPr="00B94E33">
        <w:rPr>
          <w:lang w:val="fr-FR"/>
        </w:rPr>
        <w:t>ation. </w:t>
      </w:r>
      <w:r w:rsidR="009741FD" w:rsidRPr="00B94E33">
        <w:rPr>
          <w:lang w:val="fr-FR"/>
        </w:rPr>
        <w:t>»</w:t>
      </w:r>
    </w:p>
    <w:p w:rsidR="004C3963" w:rsidRPr="00B94E33" w:rsidRDefault="00DC5E2D" w:rsidP="00B94E33">
      <w:pPr>
        <w:pStyle w:val="ECHRHeading2"/>
        <w:rPr>
          <w:lang w:val="fr-FR"/>
        </w:rPr>
      </w:pPr>
      <w:r w:rsidRPr="00B94E33">
        <w:rPr>
          <w:lang w:val="fr-FR"/>
        </w:rPr>
        <w:t>A</w:t>
      </w:r>
      <w:r w:rsidR="00A24CD4" w:rsidRPr="00B94E33">
        <w:rPr>
          <w:lang w:val="fr-FR"/>
        </w:rPr>
        <w:t>.  </w:t>
      </w:r>
      <w:r w:rsidR="004C3963" w:rsidRPr="00B94E33">
        <w:rPr>
          <w:lang w:val="fr-FR"/>
        </w:rPr>
        <w:t>Thèses des parties</w:t>
      </w:r>
    </w:p>
    <w:p w:rsidR="0027728B" w:rsidRPr="00B94E33" w:rsidRDefault="0027728B"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134</w:t>
      </w:r>
      <w:r w:rsidRPr="00B94E33">
        <w:rPr>
          <w:lang w:val="fr-FR"/>
        </w:rPr>
        <w:fldChar w:fldCharType="end"/>
      </w:r>
      <w:r w:rsidRPr="00B94E33">
        <w:rPr>
          <w:lang w:val="fr-FR"/>
        </w:rPr>
        <w:t>.  La requérante se réfère à toute la législation interne et internationale pertinente selon elle en l</w:t>
      </w:r>
      <w:r w:rsidR="00B94E33" w:rsidRPr="00B94E33">
        <w:rPr>
          <w:lang w:val="fr-FR"/>
        </w:rPr>
        <w:t>’</w:t>
      </w:r>
      <w:r w:rsidRPr="00B94E33">
        <w:rPr>
          <w:lang w:val="fr-FR"/>
        </w:rPr>
        <w:t>espèce, et invoque les conclusions du rapporteur spécial de Nations unies, qui a demandé à l</w:t>
      </w:r>
      <w:r w:rsidR="00B94E33" w:rsidRPr="00B94E33">
        <w:rPr>
          <w:lang w:val="fr-FR"/>
        </w:rPr>
        <w:t>’</w:t>
      </w:r>
      <w:r w:rsidRPr="00B94E33">
        <w:rPr>
          <w:lang w:val="fr-FR"/>
        </w:rPr>
        <w:t>Italie d</w:t>
      </w:r>
      <w:r w:rsidR="00B94E33" w:rsidRPr="00B94E33">
        <w:rPr>
          <w:lang w:val="fr-FR"/>
        </w:rPr>
        <w:t>’</w:t>
      </w:r>
      <w:r w:rsidRPr="00B94E33">
        <w:rPr>
          <w:lang w:val="fr-FR"/>
        </w:rPr>
        <w:t>éliminer les attitudes stéréotypées concernant la répartition des rôles et des responsabilités entre homme et femme dans la famille, au travail et dans la société.</w:t>
      </w:r>
    </w:p>
    <w:p w:rsidR="0027728B" w:rsidRPr="00B94E33" w:rsidRDefault="0027728B" w:rsidP="00B94E33">
      <w:pPr>
        <w:pStyle w:val="ECHRPara"/>
        <w:rPr>
          <w:szCs w:val="24"/>
          <w:lang w:val="fr-FR"/>
        </w:rPr>
      </w:pPr>
      <w:r w:rsidRPr="00B94E33">
        <w:rPr>
          <w:szCs w:val="24"/>
          <w:lang w:val="fr-FR"/>
        </w:rPr>
        <w:fldChar w:fldCharType="begin"/>
      </w:r>
      <w:r w:rsidRPr="00B94E33">
        <w:rPr>
          <w:szCs w:val="24"/>
          <w:lang w:val="fr-FR"/>
        </w:rPr>
        <w:instrText xml:space="preserve"> SEQ level0 \*arabic </w:instrText>
      </w:r>
      <w:r w:rsidRPr="00B94E33">
        <w:rPr>
          <w:szCs w:val="24"/>
          <w:lang w:val="fr-FR"/>
        </w:rPr>
        <w:fldChar w:fldCharType="separate"/>
      </w:r>
      <w:r w:rsidR="00B94E33" w:rsidRPr="00B94E33">
        <w:rPr>
          <w:noProof/>
          <w:szCs w:val="24"/>
          <w:lang w:val="fr-FR"/>
        </w:rPr>
        <w:t>135</w:t>
      </w:r>
      <w:r w:rsidRPr="00B94E33">
        <w:rPr>
          <w:szCs w:val="24"/>
          <w:lang w:val="fr-FR"/>
        </w:rPr>
        <w:fldChar w:fldCharType="end"/>
      </w:r>
      <w:r w:rsidRPr="00B94E33">
        <w:rPr>
          <w:szCs w:val="24"/>
          <w:lang w:val="fr-FR"/>
        </w:rPr>
        <w:t>.  La requérante allègue qu</w:t>
      </w:r>
      <w:r w:rsidR="00B94E33" w:rsidRPr="00B94E33">
        <w:rPr>
          <w:szCs w:val="24"/>
          <w:lang w:val="fr-FR"/>
        </w:rPr>
        <w:t>’</w:t>
      </w:r>
      <w:r w:rsidRPr="00B94E33">
        <w:rPr>
          <w:szCs w:val="24"/>
          <w:lang w:val="fr-FR"/>
        </w:rPr>
        <w:t>elle n</w:t>
      </w:r>
      <w:r w:rsidR="00B94E33" w:rsidRPr="00B94E33">
        <w:rPr>
          <w:szCs w:val="24"/>
          <w:lang w:val="fr-FR"/>
        </w:rPr>
        <w:t>’</w:t>
      </w:r>
      <w:r w:rsidRPr="00B94E33">
        <w:rPr>
          <w:szCs w:val="24"/>
          <w:lang w:val="fr-FR"/>
        </w:rPr>
        <w:t>a pas bénéficié d</w:t>
      </w:r>
      <w:r w:rsidR="00B94E33" w:rsidRPr="00B94E33">
        <w:rPr>
          <w:szCs w:val="24"/>
          <w:lang w:val="fr-FR"/>
        </w:rPr>
        <w:t>’</w:t>
      </w:r>
      <w:r w:rsidRPr="00B94E33">
        <w:rPr>
          <w:szCs w:val="24"/>
          <w:lang w:val="fr-FR"/>
        </w:rPr>
        <w:t>une protection législative appropriée et que les autorités n</w:t>
      </w:r>
      <w:r w:rsidR="00B94E33" w:rsidRPr="00B94E33">
        <w:rPr>
          <w:szCs w:val="24"/>
          <w:lang w:val="fr-FR"/>
        </w:rPr>
        <w:t>’</w:t>
      </w:r>
      <w:r w:rsidRPr="00B94E33">
        <w:rPr>
          <w:szCs w:val="24"/>
          <w:lang w:val="fr-FR"/>
        </w:rPr>
        <w:t>ont pas apporté de réponse adéquate à ses allégations selon lesquelles elle était victime de violences domestiques. Elle estime que cela s</w:t>
      </w:r>
      <w:r w:rsidR="00B94E33" w:rsidRPr="00B94E33">
        <w:rPr>
          <w:szCs w:val="24"/>
          <w:lang w:val="fr-FR"/>
        </w:rPr>
        <w:t>’</w:t>
      </w:r>
      <w:r w:rsidRPr="00B94E33">
        <w:rPr>
          <w:szCs w:val="24"/>
          <w:lang w:val="fr-FR"/>
        </w:rPr>
        <w:t>analyse en un traitement discriminatoire fondé sur le sexe.</w:t>
      </w:r>
    </w:p>
    <w:p w:rsidR="0027728B" w:rsidRPr="00B94E33" w:rsidRDefault="0027728B" w:rsidP="00B94E33">
      <w:pPr>
        <w:pStyle w:val="ECHRPara"/>
        <w:rPr>
          <w:i/>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136</w:t>
      </w:r>
      <w:r w:rsidRPr="00B94E33">
        <w:rPr>
          <w:lang w:val="fr-FR"/>
        </w:rPr>
        <w:fldChar w:fldCharType="end"/>
      </w:r>
      <w:r w:rsidRPr="00B94E33">
        <w:rPr>
          <w:lang w:val="fr-FR"/>
        </w:rPr>
        <w:t>.  Se référant à la conclusion de la Cour sous l</w:t>
      </w:r>
      <w:r w:rsidR="00B94E33" w:rsidRPr="00B94E33">
        <w:rPr>
          <w:lang w:val="fr-FR"/>
        </w:rPr>
        <w:t>’</w:t>
      </w:r>
      <w:r w:rsidRPr="00B94E33">
        <w:rPr>
          <w:lang w:val="fr-FR"/>
        </w:rPr>
        <w:t>angle de l</w:t>
      </w:r>
      <w:r w:rsidR="00B94E33" w:rsidRPr="00B94E33">
        <w:rPr>
          <w:lang w:val="fr-FR"/>
        </w:rPr>
        <w:t>’</w:t>
      </w:r>
      <w:r w:rsidRPr="00B94E33">
        <w:rPr>
          <w:lang w:val="fr-FR"/>
        </w:rPr>
        <w:t>article 14 de la Convention combiné avec l</w:t>
      </w:r>
      <w:r w:rsidR="00B94E33" w:rsidRPr="00B94E33">
        <w:rPr>
          <w:lang w:val="fr-FR"/>
        </w:rPr>
        <w:t>’</w:t>
      </w:r>
      <w:r w:rsidRPr="00B94E33">
        <w:rPr>
          <w:lang w:val="fr-FR"/>
        </w:rPr>
        <w:t>article 3 dans l</w:t>
      </w:r>
      <w:r w:rsidR="00B94E33" w:rsidRPr="00B94E33">
        <w:rPr>
          <w:lang w:val="fr-FR"/>
        </w:rPr>
        <w:t>’</w:t>
      </w:r>
      <w:r w:rsidRPr="00B94E33">
        <w:rPr>
          <w:lang w:val="fr-FR"/>
        </w:rPr>
        <w:t xml:space="preserve">affaire </w:t>
      </w:r>
      <w:r w:rsidRPr="00B94E33">
        <w:rPr>
          <w:i/>
          <w:lang w:val="fr-FR"/>
        </w:rPr>
        <w:t>T.M. et C.M.</w:t>
      </w:r>
      <w:r w:rsidRPr="00B94E33">
        <w:rPr>
          <w:lang w:val="fr-FR"/>
        </w:rPr>
        <w:t xml:space="preserve"> </w:t>
      </w:r>
      <w:r w:rsidRPr="00B94E33">
        <w:rPr>
          <w:i/>
          <w:lang w:val="fr-FR"/>
        </w:rPr>
        <w:t>c.</w:t>
      </w:r>
      <w:r w:rsidR="004B08DB" w:rsidRPr="00B94E33">
        <w:rPr>
          <w:i/>
          <w:lang w:val="fr-FR"/>
        </w:rPr>
        <w:t> </w:t>
      </w:r>
      <w:r w:rsidRPr="00B94E33">
        <w:rPr>
          <w:i/>
          <w:lang w:val="fr-FR"/>
        </w:rPr>
        <w:t>République de Moldova</w:t>
      </w:r>
      <w:r w:rsidRPr="00B94E33">
        <w:rPr>
          <w:snapToGrid w:val="0"/>
          <w:lang w:val="fr-FR"/>
        </w:rPr>
        <w:t xml:space="preserve"> (</w:t>
      </w:r>
      <w:r w:rsidRPr="00B94E33">
        <w:rPr>
          <w:lang w:val="fr-FR"/>
        </w:rPr>
        <w:t>n</w:t>
      </w:r>
      <w:r w:rsidRPr="00B94E33">
        <w:rPr>
          <w:vertAlign w:val="superscript"/>
          <w:lang w:val="fr-FR"/>
        </w:rPr>
        <w:t>o</w:t>
      </w:r>
      <w:r w:rsidRPr="00B94E33">
        <w:rPr>
          <w:lang w:val="fr-FR"/>
        </w:rPr>
        <w:t xml:space="preserve"> 26608/11</w:t>
      </w:r>
      <w:r w:rsidRPr="00B94E33">
        <w:rPr>
          <w:snapToGrid w:val="0"/>
          <w:lang w:val="fr-FR"/>
        </w:rPr>
        <w:t xml:space="preserve">, § 49 et § 62, 28 </w:t>
      </w:r>
      <w:r w:rsidRPr="00B94E33">
        <w:rPr>
          <w:lang w:val="fr-FR"/>
        </w:rPr>
        <w:t>janvier</w:t>
      </w:r>
      <w:r w:rsidRPr="00B94E33">
        <w:rPr>
          <w:snapToGrid w:val="0"/>
          <w:lang w:val="fr-FR"/>
        </w:rPr>
        <w:t xml:space="preserve"> 2014)</w:t>
      </w:r>
      <w:r w:rsidRPr="00B94E33">
        <w:rPr>
          <w:lang w:val="fr-FR"/>
        </w:rPr>
        <w:t>,</w:t>
      </w:r>
      <w:r w:rsidRPr="00B94E33">
        <w:rPr>
          <w:i/>
          <w:lang w:val="fr-FR"/>
        </w:rPr>
        <w:t xml:space="preserve"> </w:t>
      </w:r>
      <w:r w:rsidRPr="00B94E33">
        <w:rPr>
          <w:lang w:val="fr-FR"/>
        </w:rPr>
        <w:t>la requérante demande à la Cour de conclure à la violation de l</w:t>
      </w:r>
      <w:r w:rsidR="00B94E33" w:rsidRPr="00B94E33">
        <w:rPr>
          <w:lang w:val="fr-FR"/>
        </w:rPr>
        <w:t>’</w:t>
      </w:r>
      <w:r w:rsidRPr="00B94E33">
        <w:rPr>
          <w:lang w:val="fr-FR"/>
        </w:rPr>
        <w:t>article 14.</w:t>
      </w:r>
    </w:p>
    <w:p w:rsidR="00525AF8" w:rsidRPr="00B94E33" w:rsidRDefault="00913952"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137</w:t>
      </w:r>
      <w:r w:rsidRPr="00B94E33">
        <w:rPr>
          <w:lang w:val="fr-FR"/>
        </w:rPr>
        <w:fldChar w:fldCharType="end"/>
      </w:r>
      <w:r w:rsidRPr="00B94E33">
        <w:rPr>
          <w:lang w:val="fr-FR"/>
        </w:rPr>
        <w:t>.  </w:t>
      </w:r>
      <w:r w:rsidR="00525AF8" w:rsidRPr="00B94E33">
        <w:rPr>
          <w:lang w:val="fr-FR"/>
        </w:rPr>
        <w:t xml:space="preserve">Le Gouvernement </w:t>
      </w:r>
      <w:r w:rsidR="00A24CD4" w:rsidRPr="00B94E33">
        <w:rPr>
          <w:lang w:val="fr-FR"/>
        </w:rPr>
        <w:t xml:space="preserve">considère </w:t>
      </w:r>
      <w:r w:rsidR="00525AF8" w:rsidRPr="00B94E33">
        <w:rPr>
          <w:lang w:val="fr-FR"/>
        </w:rPr>
        <w:t>qu</w:t>
      </w:r>
      <w:r w:rsidR="00B94E33" w:rsidRPr="00B94E33">
        <w:rPr>
          <w:lang w:val="fr-FR"/>
        </w:rPr>
        <w:t>’</w:t>
      </w:r>
      <w:r w:rsidR="00525AF8" w:rsidRPr="00B94E33">
        <w:rPr>
          <w:lang w:val="fr-FR"/>
        </w:rPr>
        <w:t>il n</w:t>
      </w:r>
      <w:r w:rsidR="00B94E33" w:rsidRPr="00B94E33">
        <w:rPr>
          <w:lang w:val="fr-FR"/>
        </w:rPr>
        <w:t>’</w:t>
      </w:r>
      <w:r w:rsidR="00525AF8" w:rsidRPr="00B94E33">
        <w:rPr>
          <w:lang w:val="fr-FR"/>
        </w:rPr>
        <w:t>y a pas eu de discrimination fondée sur le sexe en l</w:t>
      </w:r>
      <w:r w:rsidR="00B94E33" w:rsidRPr="00B94E33">
        <w:rPr>
          <w:lang w:val="fr-FR"/>
        </w:rPr>
        <w:t>’</w:t>
      </w:r>
      <w:r w:rsidR="00525AF8" w:rsidRPr="00B94E33">
        <w:rPr>
          <w:lang w:val="fr-FR"/>
        </w:rPr>
        <w:t xml:space="preserve">espèce. En outre, </w:t>
      </w:r>
      <w:r w:rsidR="0047000D" w:rsidRPr="00B94E33">
        <w:rPr>
          <w:lang w:val="fr-FR"/>
        </w:rPr>
        <w:t xml:space="preserve">selon lui, </w:t>
      </w:r>
      <w:r w:rsidR="00525AF8" w:rsidRPr="00B94E33">
        <w:rPr>
          <w:lang w:val="fr-FR"/>
        </w:rPr>
        <w:t xml:space="preserve">la thèse selon laquelle il existe une discrimination institutionnalisée par la législation pénale ou </w:t>
      </w:r>
      <w:r w:rsidR="00525AF8" w:rsidRPr="00B94E33">
        <w:rPr>
          <w:lang w:val="fr-FR"/>
        </w:rPr>
        <w:lastRenderedPageBreak/>
        <w:t xml:space="preserve">encore par la pratique administrative ou judiciaire ne résisterait pas à </w:t>
      </w:r>
      <w:r w:rsidR="005E3020" w:rsidRPr="00B94E33">
        <w:rPr>
          <w:lang w:val="fr-FR"/>
        </w:rPr>
        <w:t xml:space="preserve">un </w:t>
      </w:r>
      <w:r w:rsidR="00525AF8" w:rsidRPr="00B94E33">
        <w:rPr>
          <w:lang w:val="fr-FR"/>
        </w:rPr>
        <w:t>examen</w:t>
      </w:r>
      <w:r w:rsidR="005E3020" w:rsidRPr="00B94E33">
        <w:rPr>
          <w:lang w:val="fr-FR"/>
        </w:rPr>
        <w:t xml:space="preserve"> sérieux</w:t>
      </w:r>
      <w:r w:rsidR="00A24CD4" w:rsidRPr="00B94E33">
        <w:rPr>
          <w:lang w:val="fr-FR"/>
        </w:rPr>
        <w:t>.</w:t>
      </w:r>
    </w:p>
    <w:p w:rsidR="00525AF8" w:rsidRPr="00B94E33" w:rsidRDefault="00A81F09"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138</w:t>
      </w:r>
      <w:r w:rsidRPr="00B94E33">
        <w:rPr>
          <w:lang w:val="fr-FR"/>
        </w:rPr>
        <w:fldChar w:fldCharType="end"/>
      </w:r>
      <w:r w:rsidRPr="00B94E33">
        <w:rPr>
          <w:lang w:val="fr-FR"/>
        </w:rPr>
        <w:t>.  </w:t>
      </w:r>
      <w:r w:rsidR="00525AF8" w:rsidRPr="00B94E33">
        <w:rPr>
          <w:lang w:val="fr-FR"/>
        </w:rPr>
        <w:t xml:space="preserve">Il </w:t>
      </w:r>
      <w:r w:rsidR="00A24CD4" w:rsidRPr="00B94E33">
        <w:rPr>
          <w:lang w:val="fr-FR"/>
        </w:rPr>
        <w:t xml:space="preserve">indique </w:t>
      </w:r>
      <w:r w:rsidR="006167B6" w:rsidRPr="00B94E33">
        <w:rPr>
          <w:lang w:val="fr-FR"/>
        </w:rPr>
        <w:t>par ailleurs</w:t>
      </w:r>
      <w:r w:rsidR="00525AF8" w:rsidRPr="00B94E33">
        <w:rPr>
          <w:lang w:val="fr-FR"/>
        </w:rPr>
        <w:t xml:space="preserve"> que le Conseil </w:t>
      </w:r>
      <w:r w:rsidRPr="00B94E33">
        <w:rPr>
          <w:lang w:val="fr-FR"/>
        </w:rPr>
        <w:t>supérieur</w:t>
      </w:r>
      <w:r w:rsidR="00525AF8" w:rsidRPr="00B94E33">
        <w:rPr>
          <w:lang w:val="fr-FR"/>
        </w:rPr>
        <w:t xml:space="preserve"> de la </w:t>
      </w:r>
      <w:r w:rsidRPr="00B94E33">
        <w:rPr>
          <w:lang w:val="fr-FR"/>
        </w:rPr>
        <w:t>magistrature</w:t>
      </w:r>
      <w:r w:rsidR="00525AF8" w:rsidRPr="00B94E33">
        <w:rPr>
          <w:lang w:val="fr-FR"/>
        </w:rPr>
        <w:t xml:space="preserve"> a </w:t>
      </w:r>
      <w:r w:rsidR="00A24CD4" w:rsidRPr="00B94E33">
        <w:rPr>
          <w:lang w:val="fr-FR"/>
        </w:rPr>
        <w:t xml:space="preserve">adopté </w:t>
      </w:r>
      <w:r w:rsidR="00525AF8" w:rsidRPr="00B94E33">
        <w:rPr>
          <w:lang w:val="fr-FR"/>
        </w:rPr>
        <w:t xml:space="preserve">deux </w:t>
      </w:r>
      <w:r w:rsidRPr="00B94E33">
        <w:rPr>
          <w:lang w:val="fr-FR"/>
        </w:rPr>
        <w:t>résolutions</w:t>
      </w:r>
      <w:r w:rsidR="00A24CD4" w:rsidRPr="00B94E33">
        <w:rPr>
          <w:lang w:val="fr-FR"/>
        </w:rPr>
        <w:t>,</w:t>
      </w:r>
      <w:r w:rsidR="00525AF8" w:rsidRPr="00B94E33">
        <w:rPr>
          <w:lang w:val="fr-FR"/>
        </w:rPr>
        <w:t xml:space="preserve"> </w:t>
      </w:r>
      <w:r w:rsidR="00A24CD4" w:rsidRPr="00B94E33">
        <w:rPr>
          <w:lang w:val="fr-FR"/>
        </w:rPr>
        <w:t xml:space="preserve">le </w:t>
      </w:r>
      <w:r w:rsidR="00525AF8" w:rsidRPr="00B94E33">
        <w:rPr>
          <w:lang w:val="fr-FR"/>
        </w:rPr>
        <w:t>11 février 2009 et le 18 mars 2014, demandant aux chef</w:t>
      </w:r>
      <w:r w:rsidR="00A24CD4" w:rsidRPr="00B94E33">
        <w:rPr>
          <w:lang w:val="fr-FR"/>
        </w:rPr>
        <w:t>s</w:t>
      </w:r>
      <w:r w:rsidR="00525AF8" w:rsidRPr="00B94E33">
        <w:rPr>
          <w:lang w:val="fr-FR"/>
        </w:rPr>
        <w:t xml:space="preserve"> des bureau</w:t>
      </w:r>
      <w:r w:rsidR="00A24CD4" w:rsidRPr="00B94E33">
        <w:rPr>
          <w:lang w:val="fr-FR"/>
        </w:rPr>
        <w:t>x</w:t>
      </w:r>
      <w:r w:rsidR="00525AF8" w:rsidRPr="00B94E33">
        <w:rPr>
          <w:lang w:val="fr-FR"/>
        </w:rPr>
        <w:t xml:space="preserve"> </w:t>
      </w:r>
      <w:r w:rsidRPr="00B94E33">
        <w:rPr>
          <w:lang w:val="fr-FR"/>
        </w:rPr>
        <w:t>judic</w:t>
      </w:r>
      <w:r w:rsidR="00A24CD4" w:rsidRPr="00B94E33">
        <w:rPr>
          <w:lang w:val="fr-FR"/>
        </w:rPr>
        <w:t>i</w:t>
      </w:r>
      <w:r w:rsidRPr="00B94E33">
        <w:rPr>
          <w:lang w:val="fr-FR"/>
        </w:rPr>
        <w:t>aires</w:t>
      </w:r>
      <w:r w:rsidR="00525AF8" w:rsidRPr="00B94E33">
        <w:rPr>
          <w:lang w:val="fr-FR"/>
        </w:rPr>
        <w:t xml:space="preserve"> de s</w:t>
      </w:r>
      <w:r w:rsidR="00B94E33" w:rsidRPr="00B94E33">
        <w:rPr>
          <w:lang w:val="fr-FR"/>
        </w:rPr>
        <w:t>’</w:t>
      </w:r>
      <w:r w:rsidR="00525AF8" w:rsidRPr="00B94E33">
        <w:rPr>
          <w:lang w:val="fr-FR"/>
        </w:rPr>
        <w:t xml:space="preserve">organiser et </w:t>
      </w:r>
      <w:r w:rsidR="005E3020" w:rsidRPr="00B94E33">
        <w:rPr>
          <w:lang w:val="fr-FR"/>
        </w:rPr>
        <w:t xml:space="preserve">de se spécialiser </w:t>
      </w:r>
      <w:r w:rsidR="00525AF8" w:rsidRPr="00B94E33">
        <w:rPr>
          <w:lang w:val="fr-FR"/>
        </w:rPr>
        <w:t xml:space="preserve">dans cette matière afin de pouvoir répondre </w:t>
      </w:r>
      <w:r w:rsidRPr="00B94E33">
        <w:rPr>
          <w:lang w:val="fr-FR"/>
        </w:rPr>
        <w:t>efficacement</w:t>
      </w:r>
      <w:r w:rsidR="00525AF8" w:rsidRPr="00B94E33">
        <w:rPr>
          <w:lang w:val="fr-FR"/>
        </w:rPr>
        <w:t xml:space="preserve"> </w:t>
      </w:r>
      <w:r w:rsidR="00A24CD4" w:rsidRPr="00B94E33">
        <w:rPr>
          <w:lang w:val="fr-FR"/>
        </w:rPr>
        <w:t>aux cas</w:t>
      </w:r>
      <w:r w:rsidR="00525AF8" w:rsidRPr="00B94E33">
        <w:rPr>
          <w:lang w:val="fr-FR"/>
        </w:rPr>
        <w:t xml:space="preserve"> de violence</w:t>
      </w:r>
      <w:r w:rsidR="000310CA" w:rsidRPr="00B94E33">
        <w:rPr>
          <w:lang w:val="fr-FR"/>
        </w:rPr>
        <w:t>s</w:t>
      </w:r>
      <w:r w:rsidR="00525AF8" w:rsidRPr="00B94E33">
        <w:rPr>
          <w:lang w:val="fr-FR"/>
        </w:rPr>
        <w:t xml:space="preserve"> domestique</w:t>
      </w:r>
      <w:r w:rsidR="000310CA" w:rsidRPr="00B94E33">
        <w:rPr>
          <w:lang w:val="fr-FR"/>
        </w:rPr>
        <w:t>s</w:t>
      </w:r>
      <w:r w:rsidR="00525AF8" w:rsidRPr="00B94E33">
        <w:rPr>
          <w:lang w:val="fr-FR"/>
        </w:rPr>
        <w:t>.</w:t>
      </w:r>
    </w:p>
    <w:p w:rsidR="00525AF8" w:rsidRPr="00B94E33" w:rsidRDefault="00A81F09"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139</w:t>
      </w:r>
      <w:r w:rsidRPr="00B94E33">
        <w:rPr>
          <w:lang w:val="fr-FR"/>
        </w:rPr>
        <w:fldChar w:fldCharType="end"/>
      </w:r>
      <w:r w:rsidRPr="00B94E33">
        <w:rPr>
          <w:lang w:val="fr-FR"/>
        </w:rPr>
        <w:t>.  </w:t>
      </w:r>
      <w:r w:rsidR="00A24CD4" w:rsidRPr="00B94E33">
        <w:rPr>
          <w:lang w:val="fr-FR"/>
        </w:rPr>
        <w:t>Il ajoute que, d</w:t>
      </w:r>
      <w:r w:rsidR="00525AF8" w:rsidRPr="00B94E33">
        <w:rPr>
          <w:lang w:val="fr-FR"/>
        </w:rPr>
        <w:t>e plus</w:t>
      </w:r>
      <w:r w:rsidR="000976E1" w:rsidRPr="00B94E33">
        <w:rPr>
          <w:lang w:val="fr-FR"/>
        </w:rPr>
        <w:t>,</w:t>
      </w:r>
      <w:r w:rsidR="00525AF8" w:rsidRPr="00B94E33">
        <w:rPr>
          <w:lang w:val="fr-FR"/>
        </w:rPr>
        <w:t xml:space="preserve"> la </w:t>
      </w:r>
      <w:r w:rsidR="00674AD1" w:rsidRPr="00B94E33">
        <w:rPr>
          <w:lang w:val="fr-FR"/>
        </w:rPr>
        <w:t>législation</w:t>
      </w:r>
      <w:r w:rsidR="00525AF8" w:rsidRPr="00B94E33">
        <w:rPr>
          <w:lang w:val="fr-FR"/>
        </w:rPr>
        <w:t xml:space="preserve"> interne prévoit une réponse ferme contre ces actes de </w:t>
      </w:r>
      <w:r w:rsidR="00674AD1" w:rsidRPr="00B94E33">
        <w:rPr>
          <w:lang w:val="fr-FR"/>
        </w:rPr>
        <w:t>violence</w:t>
      </w:r>
      <w:r w:rsidR="00525AF8" w:rsidRPr="00B94E33">
        <w:rPr>
          <w:lang w:val="fr-FR"/>
        </w:rPr>
        <w:t xml:space="preserve"> : </w:t>
      </w:r>
      <w:r w:rsidR="004C3963" w:rsidRPr="00B94E33">
        <w:rPr>
          <w:lang w:val="fr-FR"/>
        </w:rPr>
        <w:t>à</w:t>
      </w:r>
      <w:r w:rsidR="00525AF8" w:rsidRPr="00B94E33">
        <w:rPr>
          <w:lang w:val="fr-FR"/>
        </w:rPr>
        <w:t xml:space="preserve"> cet égard</w:t>
      </w:r>
      <w:r w:rsidR="00A24CD4" w:rsidRPr="00B94E33">
        <w:rPr>
          <w:lang w:val="fr-FR"/>
        </w:rPr>
        <w:t>,</w:t>
      </w:r>
      <w:r w:rsidR="00525AF8" w:rsidRPr="00B94E33">
        <w:rPr>
          <w:lang w:val="fr-FR"/>
        </w:rPr>
        <w:t xml:space="preserve"> </w:t>
      </w:r>
      <w:r w:rsidR="000976E1" w:rsidRPr="00B94E33">
        <w:rPr>
          <w:lang w:val="fr-FR"/>
        </w:rPr>
        <w:t xml:space="preserve">la loi relative au </w:t>
      </w:r>
      <w:r w:rsidR="00525AF8" w:rsidRPr="00B94E33">
        <w:rPr>
          <w:lang w:val="fr-FR"/>
        </w:rPr>
        <w:t xml:space="preserve">délit de </w:t>
      </w:r>
      <w:r w:rsidR="0047000D" w:rsidRPr="00B94E33">
        <w:rPr>
          <w:lang w:val="fr-FR"/>
        </w:rPr>
        <w:t>harcèlement (</w:t>
      </w:r>
      <w:r w:rsidR="00525AF8" w:rsidRPr="00B94E33">
        <w:rPr>
          <w:i/>
          <w:lang w:val="fr-FR"/>
        </w:rPr>
        <w:t>stalking</w:t>
      </w:r>
      <w:r w:rsidR="0047000D" w:rsidRPr="00B94E33">
        <w:rPr>
          <w:lang w:val="fr-FR"/>
        </w:rPr>
        <w:t xml:space="preserve">) </w:t>
      </w:r>
      <w:r w:rsidR="00440F04" w:rsidRPr="00B94E33">
        <w:rPr>
          <w:lang w:val="fr-FR"/>
        </w:rPr>
        <w:t>(paragraphe</w:t>
      </w:r>
      <w:r w:rsidR="004C3963" w:rsidRPr="00B94E33">
        <w:rPr>
          <w:lang w:val="fr-FR"/>
        </w:rPr>
        <w:t xml:space="preserve"> </w:t>
      </w:r>
      <w:r w:rsidR="004C3963" w:rsidRPr="00B94E33">
        <w:rPr>
          <w:lang w:val="fr-FR"/>
        </w:rPr>
        <w:fldChar w:fldCharType="begin"/>
      </w:r>
      <w:r w:rsidR="004C3963" w:rsidRPr="00B94E33">
        <w:rPr>
          <w:lang w:val="fr-FR"/>
        </w:rPr>
        <w:instrText xml:space="preserve"> REF para52 \h </w:instrText>
      </w:r>
      <w:r w:rsidR="00A84E66" w:rsidRPr="00B94E33">
        <w:rPr>
          <w:lang w:val="fr-FR"/>
        </w:rPr>
        <w:instrText xml:space="preserve"> \* MERGEFORMAT </w:instrText>
      </w:r>
      <w:r w:rsidR="004C3963" w:rsidRPr="00B94E33">
        <w:rPr>
          <w:lang w:val="fr-FR"/>
        </w:rPr>
      </w:r>
      <w:r w:rsidR="004C3963" w:rsidRPr="00B94E33">
        <w:rPr>
          <w:lang w:val="fr-FR"/>
        </w:rPr>
        <w:fldChar w:fldCharType="separate"/>
      </w:r>
      <w:r w:rsidR="00B94E33" w:rsidRPr="00B94E33">
        <w:rPr>
          <w:rFonts w:ascii="Times New Roman" w:hAnsi="Times New Roman" w:cs="Times New Roman"/>
          <w:noProof/>
          <w:szCs w:val="24"/>
          <w:lang w:val="fr-FR"/>
        </w:rPr>
        <w:t>54</w:t>
      </w:r>
      <w:r w:rsidR="004C3963" w:rsidRPr="00B94E33">
        <w:rPr>
          <w:lang w:val="fr-FR"/>
        </w:rPr>
        <w:fldChar w:fldCharType="end"/>
      </w:r>
      <w:r w:rsidR="004C3963" w:rsidRPr="00B94E33">
        <w:rPr>
          <w:lang w:val="fr-FR"/>
        </w:rPr>
        <w:t xml:space="preserve"> ci</w:t>
      </w:r>
      <w:r w:rsidR="00A24CD4" w:rsidRPr="00B94E33">
        <w:rPr>
          <w:lang w:val="fr-FR"/>
        </w:rPr>
        <w:noBreakHyphen/>
      </w:r>
      <w:r w:rsidR="004C3963" w:rsidRPr="00B94E33">
        <w:rPr>
          <w:lang w:val="fr-FR"/>
        </w:rPr>
        <w:t>dessus) contient</w:t>
      </w:r>
      <w:r w:rsidR="00525AF8" w:rsidRPr="00B94E33">
        <w:rPr>
          <w:lang w:val="fr-FR"/>
        </w:rPr>
        <w:t xml:space="preserve"> des </w:t>
      </w:r>
      <w:r w:rsidR="000976E1" w:rsidRPr="00B94E33">
        <w:rPr>
          <w:lang w:val="fr-FR"/>
        </w:rPr>
        <w:t xml:space="preserve">dispositions </w:t>
      </w:r>
      <w:r w:rsidR="00525AF8" w:rsidRPr="00B94E33">
        <w:rPr>
          <w:lang w:val="fr-FR"/>
        </w:rPr>
        <w:t xml:space="preserve">pour </w:t>
      </w:r>
      <w:r w:rsidR="00674AD1" w:rsidRPr="00B94E33">
        <w:rPr>
          <w:lang w:val="fr-FR"/>
        </w:rPr>
        <w:t>combattre</w:t>
      </w:r>
      <w:r w:rsidR="00525AF8" w:rsidRPr="00B94E33">
        <w:rPr>
          <w:lang w:val="fr-FR"/>
        </w:rPr>
        <w:t xml:space="preserve"> l</w:t>
      </w:r>
      <w:r w:rsidR="009428D6" w:rsidRPr="00B94E33">
        <w:rPr>
          <w:lang w:val="fr-FR"/>
        </w:rPr>
        <w:t>es</w:t>
      </w:r>
      <w:r w:rsidR="00525AF8" w:rsidRPr="00B94E33">
        <w:rPr>
          <w:lang w:val="fr-FR"/>
        </w:rPr>
        <w:t xml:space="preserve"> violence</w:t>
      </w:r>
      <w:r w:rsidR="009428D6" w:rsidRPr="00B94E33">
        <w:rPr>
          <w:lang w:val="fr-FR"/>
        </w:rPr>
        <w:t>s</w:t>
      </w:r>
      <w:r w:rsidR="00525AF8" w:rsidRPr="00B94E33">
        <w:rPr>
          <w:lang w:val="fr-FR"/>
        </w:rPr>
        <w:t xml:space="preserve"> </w:t>
      </w:r>
      <w:r w:rsidR="006167B6" w:rsidRPr="00B94E33">
        <w:rPr>
          <w:lang w:val="fr-FR"/>
        </w:rPr>
        <w:t>contre les femmes</w:t>
      </w:r>
      <w:r w:rsidR="00525AF8" w:rsidRPr="00B94E33">
        <w:rPr>
          <w:lang w:val="fr-FR"/>
        </w:rPr>
        <w:t>.</w:t>
      </w:r>
    </w:p>
    <w:p w:rsidR="00C87301" w:rsidRPr="00B94E33" w:rsidRDefault="00DC5E2D" w:rsidP="00B94E33">
      <w:pPr>
        <w:pStyle w:val="ECHRHeading2"/>
        <w:rPr>
          <w:lang w:val="fr-FR"/>
        </w:rPr>
      </w:pPr>
      <w:r w:rsidRPr="00B94E33">
        <w:rPr>
          <w:lang w:val="fr-FR"/>
        </w:rPr>
        <w:t>B</w:t>
      </w:r>
      <w:r w:rsidR="004C3963" w:rsidRPr="00B94E33">
        <w:rPr>
          <w:lang w:val="fr-FR"/>
        </w:rPr>
        <w:t>.</w:t>
      </w:r>
      <w:r w:rsidR="00A24CD4" w:rsidRPr="00B94E33">
        <w:rPr>
          <w:lang w:val="fr-FR"/>
        </w:rPr>
        <w:t>  </w:t>
      </w:r>
      <w:r w:rsidR="004C3963" w:rsidRPr="00B94E33">
        <w:rPr>
          <w:lang w:val="fr-FR"/>
        </w:rPr>
        <w:t>Appréciation de la Cour</w:t>
      </w:r>
    </w:p>
    <w:p w:rsidR="00DC5E2D" w:rsidRPr="00B94E33" w:rsidRDefault="00DC5E2D" w:rsidP="00B94E33">
      <w:pPr>
        <w:pStyle w:val="ECHRHeading3"/>
        <w:rPr>
          <w:lang w:val="fr-FR"/>
        </w:rPr>
      </w:pPr>
      <w:r w:rsidRPr="00B94E33">
        <w:rPr>
          <w:lang w:val="fr-FR"/>
        </w:rPr>
        <w:t>1.</w:t>
      </w:r>
      <w:r w:rsidR="00EB1AD3" w:rsidRPr="00B94E33">
        <w:rPr>
          <w:lang w:val="fr-FR"/>
        </w:rPr>
        <w:t>  </w:t>
      </w:r>
      <w:r w:rsidRPr="00B94E33">
        <w:rPr>
          <w:lang w:val="fr-FR"/>
        </w:rPr>
        <w:t>Sur la recevabilité</w:t>
      </w:r>
    </w:p>
    <w:p w:rsidR="009A4363" w:rsidRPr="00B94E33" w:rsidRDefault="00DC5E2D"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140</w:t>
      </w:r>
      <w:r w:rsidRPr="00B94E33">
        <w:rPr>
          <w:lang w:val="fr-FR"/>
        </w:rPr>
        <w:fldChar w:fldCharType="end"/>
      </w:r>
      <w:r w:rsidRPr="00B94E33">
        <w:rPr>
          <w:lang w:val="fr-FR"/>
        </w:rPr>
        <w:t>.  La Cour, tout en soulignant que ce grief n</w:t>
      </w:r>
      <w:r w:rsidR="00B94E33" w:rsidRPr="00B94E33">
        <w:rPr>
          <w:lang w:val="fr-FR"/>
        </w:rPr>
        <w:t>’</w:t>
      </w:r>
      <w:r w:rsidRPr="00B94E33">
        <w:rPr>
          <w:lang w:val="fr-FR"/>
        </w:rPr>
        <w:t>a jamais été examiné en tant que tel par les juridictions internes, estime, au vu des circonstances de l</w:t>
      </w:r>
      <w:r w:rsidR="00B94E33" w:rsidRPr="00B94E33">
        <w:rPr>
          <w:lang w:val="fr-FR"/>
        </w:rPr>
        <w:t>’</w:t>
      </w:r>
      <w:r w:rsidRPr="00B94E33">
        <w:rPr>
          <w:lang w:val="fr-FR"/>
        </w:rPr>
        <w:t>espèce, qu</w:t>
      </w:r>
      <w:r w:rsidR="00B94E33" w:rsidRPr="00B94E33">
        <w:rPr>
          <w:lang w:val="fr-FR"/>
        </w:rPr>
        <w:t>’</w:t>
      </w:r>
      <w:r w:rsidRPr="00B94E33">
        <w:rPr>
          <w:lang w:val="fr-FR"/>
        </w:rPr>
        <w:t>il est tellement lié à ceux examinés ci-dessus qu</w:t>
      </w:r>
      <w:r w:rsidR="00B94E33" w:rsidRPr="00B94E33">
        <w:rPr>
          <w:lang w:val="fr-FR"/>
        </w:rPr>
        <w:t>’</w:t>
      </w:r>
      <w:r w:rsidRPr="00B94E33">
        <w:rPr>
          <w:lang w:val="fr-FR"/>
        </w:rPr>
        <w:t>il doit en suivre le sort et être par conséquent déclaré recevable.</w:t>
      </w:r>
    </w:p>
    <w:p w:rsidR="00DC5E2D" w:rsidRPr="00B94E33" w:rsidRDefault="00DC5E2D" w:rsidP="00B94E33">
      <w:pPr>
        <w:pStyle w:val="ECHRHeading3"/>
        <w:rPr>
          <w:lang w:val="fr-FR"/>
        </w:rPr>
      </w:pPr>
      <w:r w:rsidRPr="00B94E33">
        <w:rPr>
          <w:lang w:val="fr-FR"/>
        </w:rPr>
        <w:t>2.</w:t>
      </w:r>
      <w:r w:rsidR="00EB1AD3" w:rsidRPr="00B94E33">
        <w:rPr>
          <w:lang w:val="fr-FR"/>
        </w:rPr>
        <w:t>  </w:t>
      </w:r>
      <w:r w:rsidRPr="00B94E33">
        <w:rPr>
          <w:lang w:val="fr-FR"/>
        </w:rPr>
        <w:t>Sur le fond</w:t>
      </w:r>
    </w:p>
    <w:p w:rsidR="009A4363" w:rsidRPr="00B94E33" w:rsidRDefault="00E56C1D" w:rsidP="00B94E33">
      <w:pPr>
        <w:pStyle w:val="ECHRPara"/>
        <w:rPr>
          <w:snapToGrid w:val="0"/>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141</w:t>
      </w:r>
      <w:r w:rsidRPr="00B94E33">
        <w:rPr>
          <w:lang w:val="fr-FR"/>
        </w:rPr>
        <w:fldChar w:fldCharType="end"/>
      </w:r>
      <w:r w:rsidRPr="00B94E33">
        <w:rPr>
          <w:lang w:val="fr-FR"/>
        </w:rPr>
        <w:t>.  </w:t>
      </w:r>
      <w:r w:rsidR="00C87301" w:rsidRPr="00B94E33">
        <w:rPr>
          <w:lang w:val="fr-FR"/>
        </w:rPr>
        <w:t>La Cour rappelle que, selon sa jurisprudence</w:t>
      </w:r>
      <w:r w:rsidR="003C0293" w:rsidRPr="00B94E33">
        <w:rPr>
          <w:lang w:val="fr-FR"/>
        </w:rPr>
        <w:t>,</w:t>
      </w:r>
      <w:r w:rsidR="001372C0" w:rsidRPr="00B94E33">
        <w:rPr>
          <w:lang w:val="fr-FR"/>
        </w:rPr>
        <w:t xml:space="preserve"> le manquement – même involontaire – d</w:t>
      </w:r>
      <w:r w:rsidR="00B94E33" w:rsidRPr="00B94E33">
        <w:rPr>
          <w:lang w:val="fr-FR"/>
        </w:rPr>
        <w:t>’</w:t>
      </w:r>
      <w:r w:rsidR="001372C0" w:rsidRPr="00B94E33">
        <w:rPr>
          <w:lang w:val="fr-FR"/>
        </w:rPr>
        <w:t>un État à son obligation de protéger les femmes contre l</w:t>
      </w:r>
      <w:r w:rsidR="009428D6" w:rsidRPr="00B94E33">
        <w:rPr>
          <w:lang w:val="fr-FR"/>
        </w:rPr>
        <w:t>es</w:t>
      </w:r>
      <w:r w:rsidR="001372C0" w:rsidRPr="00B94E33">
        <w:rPr>
          <w:lang w:val="fr-FR"/>
        </w:rPr>
        <w:t xml:space="preserve"> violence</w:t>
      </w:r>
      <w:r w:rsidR="009428D6" w:rsidRPr="00B94E33">
        <w:rPr>
          <w:lang w:val="fr-FR"/>
        </w:rPr>
        <w:t>s</w:t>
      </w:r>
      <w:r w:rsidR="001372C0" w:rsidRPr="00B94E33">
        <w:rPr>
          <w:lang w:val="fr-FR"/>
        </w:rPr>
        <w:t xml:space="preserve"> domestique</w:t>
      </w:r>
      <w:r w:rsidR="009428D6" w:rsidRPr="00B94E33">
        <w:rPr>
          <w:lang w:val="fr-FR"/>
        </w:rPr>
        <w:t>s</w:t>
      </w:r>
      <w:r w:rsidR="001372C0" w:rsidRPr="00B94E33">
        <w:rPr>
          <w:lang w:val="fr-FR"/>
        </w:rPr>
        <w:t xml:space="preserve"> s</w:t>
      </w:r>
      <w:r w:rsidR="00B94E33" w:rsidRPr="00B94E33">
        <w:rPr>
          <w:lang w:val="fr-FR"/>
        </w:rPr>
        <w:t>’</w:t>
      </w:r>
      <w:r w:rsidR="001372C0" w:rsidRPr="00B94E33">
        <w:rPr>
          <w:lang w:val="fr-FR"/>
        </w:rPr>
        <w:t>analyse en une violation du droit de celles</w:t>
      </w:r>
      <w:r w:rsidR="001372C0" w:rsidRPr="00B94E33">
        <w:rPr>
          <w:lang w:val="fr-FR"/>
        </w:rPr>
        <w:noBreakHyphen/>
        <w:t>ci à une égale protection de la loi (</w:t>
      </w:r>
      <w:r w:rsidR="001372C0" w:rsidRPr="00B94E33">
        <w:rPr>
          <w:i/>
          <w:lang w:val="fr-FR"/>
        </w:rPr>
        <w:t>Opuz</w:t>
      </w:r>
      <w:r w:rsidR="001372C0" w:rsidRPr="00B94E33">
        <w:rPr>
          <w:lang w:val="fr-FR"/>
        </w:rPr>
        <w:t>, précité, § 191).</w:t>
      </w:r>
      <w:r w:rsidR="00C92A5D" w:rsidRPr="00B94E33">
        <w:rPr>
          <w:lang w:val="fr-FR"/>
        </w:rPr>
        <w:t xml:space="preserve"> La Cour a en effet déjà conclu que la « passivité généralisée et discriminatoire de la police » créant « un climat propice à cette violence » entraînait une violation de l</w:t>
      </w:r>
      <w:r w:rsidR="00B94E33" w:rsidRPr="00B94E33">
        <w:rPr>
          <w:lang w:val="fr-FR"/>
        </w:rPr>
        <w:t>’</w:t>
      </w:r>
      <w:r w:rsidR="00C92A5D" w:rsidRPr="00B94E33">
        <w:rPr>
          <w:lang w:val="fr-FR"/>
        </w:rPr>
        <w:t>article 14 de la Convention (</w:t>
      </w:r>
      <w:r w:rsidR="00C92A5D" w:rsidRPr="00B94E33">
        <w:rPr>
          <w:i/>
          <w:lang w:val="fr-FR"/>
        </w:rPr>
        <w:t>ibidem</w:t>
      </w:r>
      <w:r w:rsidR="00C92A5D" w:rsidRPr="00B94E33">
        <w:rPr>
          <w:lang w:val="fr-FR"/>
        </w:rPr>
        <w:t>, §§ 191 et suiv.). Elle a par ailleurs constaté qu</w:t>
      </w:r>
      <w:r w:rsidR="00B94E33" w:rsidRPr="00B94E33">
        <w:rPr>
          <w:lang w:val="fr-FR"/>
        </w:rPr>
        <w:t>’</w:t>
      </w:r>
      <w:r w:rsidR="00C92A5D" w:rsidRPr="00B94E33">
        <w:rPr>
          <w:lang w:val="fr-FR"/>
        </w:rPr>
        <w:t>un tel traitement discriminatoire avait lieu lorsqu</w:t>
      </w:r>
      <w:r w:rsidR="00B94E33" w:rsidRPr="00B94E33">
        <w:rPr>
          <w:lang w:val="fr-FR"/>
        </w:rPr>
        <w:t>’</w:t>
      </w:r>
      <w:r w:rsidR="00C92A5D" w:rsidRPr="00B94E33">
        <w:rPr>
          <w:lang w:val="fr-FR"/>
        </w:rPr>
        <w:t>il était possible d</w:t>
      </w:r>
      <w:r w:rsidR="00B94E33" w:rsidRPr="00B94E33">
        <w:rPr>
          <w:lang w:val="fr-FR"/>
        </w:rPr>
        <w:t>’</w:t>
      </w:r>
      <w:r w:rsidR="00C92A5D" w:rsidRPr="00B94E33">
        <w:rPr>
          <w:lang w:val="fr-FR"/>
        </w:rPr>
        <w:t>établir que les actes des autorités s</w:t>
      </w:r>
      <w:r w:rsidR="00B94E33" w:rsidRPr="00B94E33">
        <w:rPr>
          <w:lang w:val="fr-FR"/>
        </w:rPr>
        <w:t>’</w:t>
      </w:r>
      <w:r w:rsidR="00C92A5D" w:rsidRPr="00B94E33">
        <w:rPr>
          <w:lang w:val="fr-FR"/>
        </w:rPr>
        <w:t>analysaient non pas en un simple manquement ou retard à traiter les faits de violence en question mais en une tolérance répétée à l</w:t>
      </w:r>
      <w:r w:rsidR="00B94E33" w:rsidRPr="00B94E33">
        <w:rPr>
          <w:lang w:val="fr-FR"/>
        </w:rPr>
        <w:t>’</w:t>
      </w:r>
      <w:r w:rsidR="00C92A5D" w:rsidRPr="00B94E33">
        <w:rPr>
          <w:lang w:val="fr-FR"/>
        </w:rPr>
        <w:t>égard de ces faits et qu</w:t>
      </w:r>
      <w:r w:rsidR="00B94E33" w:rsidRPr="00B94E33">
        <w:rPr>
          <w:lang w:val="fr-FR"/>
        </w:rPr>
        <w:t>’</w:t>
      </w:r>
      <w:r w:rsidR="00C92A5D" w:rsidRPr="00B94E33">
        <w:rPr>
          <w:lang w:val="fr-FR"/>
        </w:rPr>
        <w:t>ils reflétaient une attitude discriminatoire envers l</w:t>
      </w:r>
      <w:r w:rsidR="00B94E33" w:rsidRPr="00B94E33">
        <w:rPr>
          <w:lang w:val="fr-FR"/>
        </w:rPr>
        <w:t>’</w:t>
      </w:r>
      <w:r w:rsidR="00C92A5D" w:rsidRPr="00B94E33">
        <w:rPr>
          <w:lang w:val="fr-FR"/>
        </w:rPr>
        <w:t>intéressée en tant que femme (</w:t>
      </w:r>
      <w:r w:rsidR="00C92A5D" w:rsidRPr="00B94E33">
        <w:rPr>
          <w:i/>
          <w:lang w:val="fr-FR"/>
        </w:rPr>
        <w:t>Eremia c.</w:t>
      </w:r>
      <w:r w:rsidR="004B08DB" w:rsidRPr="00B94E33">
        <w:rPr>
          <w:i/>
          <w:lang w:val="fr-FR"/>
        </w:rPr>
        <w:t> </w:t>
      </w:r>
      <w:r w:rsidR="00C92A5D" w:rsidRPr="00B94E33">
        <w:rPr>
          <w:i/>
          <w:lang w:val="fr-FR"/>
        </w:rPr>
        <w:t>République de Moldova</w:t>
      </w:r>
      <w:r w:rsidR="00C92A5D" w:rsidRPr="00B94E33">
        <w:rPr>
          <w:lang w:val="fr-FR"/>
        </w:rPr>
        <w:t>, n</w:t>
      </w:r>
      <w:r w:rsidR="00C92A5D" w:rsidRPr="00B94E33">
        <w:rPr>
          <w:vertAlign w:val="superscript"/>
          <w:lang w:val="fr-FR"/>
        </w:rPr>
        <w:t>o</w:t>
      </w:r>
      <w:r w:rsidR="00C92A5D" w:rsidRPr="00B94E33">
        <w:rPr>
          <w:lang w:val="fr-FR"/>
        </w:rPr>
        <w:t xml:space="preserve"> 3564/11</w:t>
      </w:r>
      <w:r w:rsidR="00C92A5D" w:rsidRPr="00B94E33">
        <w:rPr>
          <w:snapToGrid w:val="0"/>
          <w:lang w:val="fr-FR"/>
        </w:rPr>
        <w:t>, § 89, 28 mai 2013).</w:t>
      </w:r>
    </w:p>
    <w:p w:rsidR="005B3F38" w:rsidRPr="00B94E33" w:rsidRDefault="005B3F38" w:rsidP="00B94E33">
      <w:pPr>
        <w:pStyle w:val="ECHRPara"/>
        <w:rPr>
          <w:i/>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142</w:t>
      </w:r>
      <w:r w:rsidRPr="00B94E33">
        <w:rPr>
          <w:lang w:val="fr-FR"/>
        </w:rPr>
        <w:fldChar w:fldCharType="end"/>
      </w:r>
      <w:r w:rsidRPr="00B94E33">
        <w:rPr>
          <w:lang w:val="fr-FR"/>
        </w:rPr>
        <w:t>.  </w:t>
      </w:r>
      <w:r w:rsidR="001372C0" w:rsidRPr="00B94E33">
        <w:rPr>
          <w:lang w:val="fr-FR"/>
        </w:rPr>
        <w:t>Dans la présente affaire, la Cour note</w:t>
      </w:r>
      <w:r w:rsidRPr="00B94E33">
        <w:rPr>
          <w:lang w:val="fr-FR"/>
        </w:rPr>
        <w:t xml:space="preserve"> que la requérante a été victime de violence</w:t>
      </w:r>
      <w:r w:rsidR="00816A66" w:rsidRPr="00B94E33">
        <w:rPr>
          <w:lang w:val="fr-FR"/>
        </w:rPr>
        <w:t>s</w:t>
      </w:r>
      <w:r w:rsidRPr="00B94E33">
        <w:rPr>
          <w:lang w:val="fr-FR"/>
        </w:rPr>
        <w:t xml:space="preserve"> de la part de </w:t>
      </w:r>
      <w:r w:rsidR="001372C0" w:rsidRPr="00B94E33">
        <w:rPr>
          <w:lang w:val="fr-FR"/>
        </w:rPr>
        <w:t>A.T.</w:t>
      </w:r>
      <w:r w:rsidRPr="00B94E33">
        <w:rPr>
          <w:lang w:val="fr-FR"/>
        </w:rPr>
        <w:t xml:space="preserve"> </w:t>
      </w:r>
      <w:r w:rsidR="00816A66" w:rsidRPr="00B94E33">
        <w:rPr>
          <w:lang w:val="fr-FR"/>
        </w:rPr>
        <w:t xml:space="preserve">à </w:t>
      </w:r>
      <w:r w:rsidRPr="00B94E33">
        <w:rPr>
          <w:lang w:val="fr-FR"/>
        </w:rPr>
        <w:t xml:space="preserve">plusieurs </w:t>
      </w:r>
      <w:r w:rsidR="003C0293" w:rsidRPr="00B94E33">
        <w:rPr>
          <w:lang w:val="fr-FR"/>
        </w:rPr>
        <w:t xml:space="preserve">reprises </w:t>
      </w:r>
      <w:r w:rsidRPr="00B94E33">
        <w:rPr>
          <w:lang w:val="fr-FR"/>
        </w:rPr>
        <w:t>(paragraphes</w:t>
      </w:r>
      <w:r w:rsidR="00816A66" w:rsidRPr="00B94E33">
        <w:rPr>
          <w:lang w:val="fr-FR"/>
        </w:rPr>
        <w:t> </w:t>
      </w:r>
      <w:r w:rsidRPr="00B94E33">
        <w:rPr>
          <w:lang w:val="fr-FR"/>
        </w:rPr>
        <w:fldChar w:fldCharType="begin"/>
      </w:r>
      <w:r w:rsidRPr="00B94E33">
        <w:rPr>
          <w:lang w:val="fr-FR"/>
        </w:rPr>
        <w:instrText xml:space="preserve"> REF para11 \h  \* MERGEFORMAT </w:instrText>
      </w:r>
      <w:r w:rsidRPr="00B94E33">
        <w:rPr>
          <w:lang w:val="fr-FR"/>
        </w:rPr>
      </w:r>
      <w:r w:rsidRPr="00B94E33">
        <w:rPr>
          <w:lang w:val="fr-FR"/>
        </w:rPr>
        <w:fldChar w:fldCharType="separate"/>
      </w:r>
      <w:r w:rsidR="00B94E33" w:rsidRPr="00B94E33">
        <w:rPr>
          <w:noProof/>
          <w:lang w:val="fr-FR"/>
        </w:rPr>
        <w:t>10</w:t>
      </w:r>
      <w:r w:rsidRPr="00B94E33">
        <w:rPr>
          <w:lang w:val="fr-FR"/>
        </w:rPr>
        <w:fldChar w:fldCharType="end"/>
      </w:r>
      <w:r w:rsidRPr="00B94E33">
        <w:rPr>
          <w:lang w:val="fr-FR"/>
        </w:rPr>
        <w:t xml:space="preserve">, </w:t>
      </w:r>
      <w:r w:rsidRPr="00B94E33">
        <w:rPr>
          <w:lang w:val="fr-FR"/>
        </w:rPr>
        <w:fldChar w:fldCharType="begin"/>
      </w:r>
      <w:r w:rsidRPr="00B94E33">
        <w:rPr>
          <w:lang w:val="fr-FR"/>
        </w:rPr>
        <w:instrText xml:space="preserve"> REF para18 \h  \* MERGEFORMAT </w:instrText>
      </w:r>
      <w:r w:rsidRPr="00B94E33">
        <w:rPr>
          <w:lang w:val="fr-FR"/>
        </w:rPr>
      </w:r>
      <w:r w:rsidRPr="00B94E33">
        <w:rPr>
          <w:lang w:val="fr-FR"/>
        </w:rPr>
        <w:fldChar w:fldCharType="separate"/>
      </w:r>
      <w:r w:rsidR="00B94E33" w:rsidRPr="00B94E33">
        <w:rPr>
          <w:noProof/>
          <w:lang w:val="fr-FR"/>
        </w:rPr>
        <w:t>16</w:t>
      </w:r>
      <w:r w:rsidRPr="00B94E33">
        <w:rPr>
          <w:lang w:val="fr-FR"/>
        </w:rPr>
        <w:fldChar w:fldCharType="end"/>
      </w:r>
      <w:r w:rsidRPr="00B94E33">
        <w:rPr>
          <w:lang w:val="fr-FR"/>
        </w:rPr>
        <w:t xml:space="preserve">, </w:t>
      </w:r>
      <w:r w:rsidRPr="00B94E33">
        <w:rPr>
          <w:lang w:val="fr-FR"/>
        </w:rPr>
        <w:fldChar w:fldCharType="begin"/>
      </w:r>
      <w:r w:rsidRPr="00B94E33">
        <w:rPr>
          <w:lang w:val="fr-FR"/>
        </w:rPr>
        <w:instrText xml:space="preserve"> REF para23 \h  \* MERGEFORMAT </w:instrText>
      </w:r>
      <w:r w:rsidRPr="00B94E33">
        <w:rPr>
          <w:lang w:val="fr-FR"/>
        </w:rPr>
      </w:r>
      <w:r w:rsidRPr="00B94E33">
        <w:rPr>
          <w:lang w:val="fr-FR"/>
        </w:rPr>
        <w:fldChar w:fldCharType="separate"/>
      </w:r>
      <w:r w:rsidR="00B94E33" w:rsidRPr="00B94E33">
        <w:rPr>
          <w:noProof/>
          <w:lang w:val="fr-FR"/>
        </w:rPr>
        <w:t>21</w:t>
      </w:r>
      <w:r w:rsidRPr="00B94E33">
        <w:rPr>
          <w:lang w:val="fr-FR"/>
        </w:rPr>
        <w:fldChar w:fldCharType="end"/>
      </w:r>
      <w:r w:rsidR="009A4363" w:rsidRPr="00B94E33">
        <w:rPr>
          <w:lang w:val="fr-FR"/>
        </w:rPr>
        <w:t xml:space="preserve"> et </w:t>
      </w:r>
      <w:r w:rsidRPr="00B94E33">
        <w:rPr>
          <w:lang w:val="fr-FR"/>
        </w:rPr>
        <w:fldChar w:fldCharType="begin"/>
      </w:r>
      <w:r w:rsidRPr="00B94E33">
        <w:rPr>
          <w:lang w:val="fr-FR"/>
        </w:rPr>
        <w:instrText xml:space="preserve"> REF para47 \h  \* MERGEFORMAT </w:instrText>
      </w:r>
      <w:r w:rsidRPr="00B94E33">
        <w:rPr>
          <w:lang w:val="fr-FR"/>
        </w:rPr>
      </w:r>
      <w:r w:rsidRPr="00B94E33">
        <w:rPr>
          <w:lang w:val="fr-FR"/>
        </w:rPr>
        <w:fldChar w:fldCharType="separate"/>
      </w:r>
      <w:r w:rsidR="00B94E33" w:rsidRPr="00B94E33">
        <w:rPr>
          <w:noProof/>
          <w:lang w:val="fr-FR"/>
        </w:rPr>
        <w:t>47</w:t>
      </w:r>
      <w:r w:rsidRPr="00B94E33">
        <w:rPr>
          <w:lang w:val="fr-FR"/>
        </w:rPr>
        <w:fldChar w:fldCharType="end"/>
      </w:r>
      <w:r w:rsidRPr="00B94E33">
        <w:rPr>
          <w:lang w:val="fr-FR"/>
        </w:rPr>
        <w:t xml:space="preserve"> ci-dessus) et que les autorités </w:t>
      </w:r>
      <w:r w:rsidR="00ED0798" w:rsidRPr="00B94E33">
        <w:rPr>
          <w:lang w:val="fr-FR"/>
        </w:rPr>
        <w:t>ont</w:t>
      </w:r>
      <w:r w:rsidR="00816A66" w:rsidRPr="00B94E33">
        <w:rPr>
          <w:lang w:val="fr-FR"/>
        </w:rPr>
        <w:t xml:space="preserve"> eu connaissance</w:t>
      </w:r>
      <w:r w:rsidR="003C0293" w:rsidRPr="00B94E33">
        <w:rPr>
          <w:lang w:val="fr-FR"/>
        </w:rPr>
        <w:t xml:space="preserve"> de ces faits</w:t>
      </w:r>
      <w:r w:rsidRPr="00B94E33">
        <w:rPr>
          <w:lang w:val="fr-FR"/>
        </w:rPr>
        <w:t>.</w:t>
      </w:r>
    </w:p>
    <w:p w:rsidR="00174532" w:rsidRPr="00B94E33" w:rsidRDefault="005B3F38"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143</w:t>
      </w:r>
      <w:r w:rsidRPr="00B94E33">
        <w:rPr>
          <w:lang w:val="fr-FR"/>
        </w:rPr>
        <w:fldChar w:fldCharType="end"/>
      </w:r>
      <w:r w:rsidRPr="00B94E33">
        <w:rPr>
          <w:lang w:val="fr-FR"/>
        </w:rPr>
        <w:t>.  </w:t>
      </w:r>
      <w:r w:rsidR="00C426D3" w:rsidRPr="00B94E33">
        <w:rPr>
          <w:lang w:val="fr-FR"/>
        </w:rPr>
        <w:t>Elle</w:t>
      </w:r>
      <w:r w:rsidRPr="00B94E33">
        <w:rPr>
          <w:lang w:val="fr-FR"/>
        </w:rPr>
        <w:t xml:space="preserve"> rappelle que les autorités n</w:t>
      </w:r>
      <w:r w:rsidR="00B94E33" w:rsidRPr="00B94E33">
        <w:rPr>
          <w:lang w:val="fr-FR"/>
        </w:rPr>
        <w:t>’</w:t>
      </w:r>
      <w:r w:rsidRPr="00B94E33">
        <w:rPr>
          <w:lang w:val="fr-FR"/>
        </w:rPr>
        <w:t xml:space="preserve">ont mené aucune enquête </w:t>
      </w:r>
      <w:r w:rsidR="00816A66" w:rsidRPr="00B94E33">
        <w:rPr>
          <w:lang w:val="fr-FR"/>
        </w:rPr>
        <w:t xml:space="preserve">dans les </w:t>
      </w:r>
      <w:r w:rsidR="001372C0" w:rsidRPr="00B94E33">
        <w:rPr>
          <w:lang w:val="fr-FR"/>
        </w:rPr>
        <w:t>sept</w:t>
      </w:r>
      <w:r w:rsidRPr="00B94E33">
        <w:rPr>
          <w:lang w:val="fr-FR"/>
        </w:rPr>
        <w:t xml:space="preserve"> mois </w:t>
      </w:r>
      <w:r w:rsidR="00816A66" w:rsidRPr="00B94E33">
        <w:rPr>
          <w:lang w:val="fr-FR"/>
        </w:rPr>
        <w:t xml:space="preserve">ayant suivi le dépôt de </w:t>
      </w:r>
      <w:r w:rsidRPr="00B94E33">
        <w:rPr>
          <w:lang w:val="fr-FR"/>
        </w:rPr>
        <w:t>la plainte de la requérante et qu</w:t>
      </w:r>
      <w:r w:rsidR="00B94E33" w:rsidRPr="00B94E33">
        <w:rPr>
          <w:lang w:val="fr-FR"/>
        </w:rPr>
        <w:t>’</w:t>
      </w:r>
      <w:r w:rsidRPr="00B94E33">
        <w:rPr>
          <w:lang w:val="fr-FR"/>
        </w:rPr>
        <w:t>aucune mesure de protection n</w:t>
      </w:r>
      <w:r w:rsidR="00B94E33" w:rsidRPr="00B94E33">
        <w:rPr>
          <w:lang w:val="fr-FR"/>
        </w:rPr>
        <w:t>’</w:t>
      </w:r>
      <w:r w:rsidRPr="00B94E33">
        <w:rPr>
          <w:lang w:val="fr-FR"/>
        </w:rPr>
        <w:t>a été prise. S</w:t>
      </w:r>
      <w:r w:rsidR="00B94E33" w:rsidRPr="00B94E33">
        <w:rPr>
          <w:lang w:val="fr-FR"/>
        </w:rPr>
        <w:t>’</w:t>
      </w:r>
      <w:r w:rsidRPr="00B94E33">
        <w:rPr>
          <w:lang w:val="fr-FR"/>
        </w:rPr>
        <w:t>i</w:t>
      </w:r>
      <w:r w:rsidR="001372C0" w:rsidRPr="00B94E33">
        <w:rPr>
          <w:lang w:val="fr-FR"/>
        </w:rPr>
        <w:t xml:space="preserve">l est vrai que </w:t>
      </w:r>
      <w:r w:rsidRPr="00B94E33">
        <w:rPr>
          <w:lang w:val="fr-FR"/>
        </w:rPr>
        <w:t xml:space="preserve">la plainte de la requérante a été </w:t>
      </w:r>
      <w:r w:rsidR="00174532" w:rsidRPr="00B94E33">
        <w:rPr>
          <w:lang w:val="fr-FR"/>
        </w:rPr>
        <w:t>classée</w:t>
      </w:r>
      <w:r w:rsidRPr="00B94E33">
        <w:rPr>
          <w:lang w:val="fr-FR"/>
        </w:rPr>
        <w:t xml:space="preserve"> environ un an </w:t>
      </w:r>
      <w:r w:rsidR="00816A66" w:rsidRPr="00B94E33">
        <w:rPr>
          <w:lang w:val="fr-FR"/>
        </w:rPr>
        <w:t xml:space="preserve">plus tard, </w:t>
      </w:r>
      <w:r w:rsidRPr="00B94E33">
        <w:rPr>
          <w:lang w:val="fr-FR"/>
        </w:rPr>
        <w:t xml:space="preserve">en raison de </w:t>
      </w:r>
      <w:r w:rsidR="00816A66" w:rsidRPr="00B94E33">
        <w:rPr>
          <w:lang w:val="fr-FR"/>
        </w:rPr>
        <w:t>la modification des</w:t>
      </w:r>
      <w:r w:rsidRPr="00B94E33">
        <w:rPr>
          <w:lang w:val="fr-FR"/>
        </w:rPr>
        <w:t xml:space="preserve"> déclarations</w:t>
      </w:r>
      <w:r w:rsidR="00816A66" w:rsidRPr="00B94E33">
        <w:rPr>
          <w:lang w:val="fr-FR"/>
        </w:rPr>
        <w:t xml:space="preserve"> de celle-ci</w:t>
      </w:r>
      <w:r w:rsidRPr="00B94E33">
        <w:rPr>
          <w:lang w:val="fr-FR"/>
        </w:rPr>
        <w:t xml:space="preserve">, la Cour note </w:t>
      </w:r>
      <w:r w:rsidR="001372C0" w:rsidRPr="00B94E33">
        <w:rPr>
          <w:lang w:val="fr-FR"/>
        </w:rPr>
        <w:t xml:space="preserve">également </w:t>
      </w:r>
      <w:r w:rsidRPr="00B94E33">
        <w:rPr>
          <w:lang w:val="fr-FR"/>
        </w:rPr>
        <w:t>que A.T. a été condamné pour</w:t>
      </w:r>
      <w:r w:rsidR="00174532" w:rsidRPr="00B94E33">
        <w:rPr>
          <w:lang w:val="fr-FR"/>
        </w:rPr>
        <w:t xml:space="preserve"> </w:t>
      </w:r>
      <w:r w:rsidR="00C5643E" w:rsidRPr="00B94E33">
        <w:rPr>
          <w:lang w:val="fr-FR"/>
        </w:rPr>
        <w:t>lésions corporelles</w:t>
      </w:r>
      <w:r w:rsidR="00816A66" w:rsidRPr="00B94E33">
        <w:rPr>
          <w:lang w:val="fr-FR"/>
        </w:rPr>
        <w:t xml:space="preserve"> </w:t>
      </w:r>
      <w:r w:rsidRPr="00B94E33">
        <w:rPr>
          <w:lang w:val="fr-FR"/>
        </w:rPr>
        <w:t>aggravé</w:t>
      </w:r>
      <w:r w:rsidR="00174532" w:rsidRPr="00B94E33">
        <w:rPr>
          <w:lang w:val="fr-FR"/>
        </w:rPr>
        <w:t>e</w:t>
      </w:r>
      <w:r w:rsidR="001372C0" w:rsidRPr="00B94E33">
        <w:rPr>
          <w:lang w:val="fr-FR"/>
        </w:rPr>
        <w:t xml:space="preserve">s trois ans </w:t>
      </w:r>
      <w:r w:rsidR="00816A66" w:rsidRPr="00B94E33">
        <w:rPr>
          <w:lang w:val="fr-FR"/>
        </w:rPr>
        <w:t>plus tard</w:t>
      </w:r>
      <w:r w:rsidR="00931F02" w:rsidRPr="00B94E33">
        <w:rPr>
          <w:lang w:val="fr-FR"/>
        </w:rPr>
        <w:t>,</w:t>
      </w:r>
      <w:r w:rsidR="00816A66" w:rsidRPr="00B94E33">
        <w:rPr>
          <w:lang w:val="fr-FR"/>
        </w:rPr>
        <w:t xml:space="preserve"> </w:t>
      </w:r>
      <w:r w:rsidR="001372C0" w:rsidRPr="00B94E33">
        <w:rPr>
          <w:lang w:val="fr-FR"/>
        </w:rPr>
        <w:t xml:space="preserve">le </w:t>
      </w:r>
      <w:r w:rsidR="001372C0" w:rsidRPr="00B94E33">
        <w:rPr>
          <w:lang w:val="fr-FR"/>
        </w:rPr>
        <w:lastRenderedPageBreak/>
        <w:t>1</w:t>
      </w:r>
      <w:r w:rsidR="001372C0" w:rsidRPr="00B94E33">
        <w:rPr>
          <w:vertAlign w:val="superscript"/>
          <w:lang w:val="fr-FR"/>
        </w:rPr>
        <w:t>er</w:t>
      </w:r>
      <w:r w:rsidR="001372C0" w:rsidRPr="00B94E33">
        <w:rPr>
          <w:lang w:val="fr-FR"/>
        </w:rPr>
        <w:t xml:space="preserve">octobre 2015, </w:t>
      </w:r>
      <w:r w:rsidR="00816A66" w:rsidRPr="00B94E33">
        <w:rPr>
          <w:lang w:val="fr-FR"/>
        </w:rPr>
        <w:t xml:space="preserve">soit </w:t>
      </w:r>
      <w:r w:rsidR="00B8461A" w:rsidRPr="00B94E33">
        <w:rPr>
          <w:lang w:val="fr-FR"/>
        </w:rPr>
        <w:t xml:space="preserve">après </w:t>
      </w:r>
      <w:r w:rsidR="00931F02" w:rsidRPr="00B94E33">
        <w:rPr>
          <w:lang w:val="fr-FR"/>
        </w:rPr>
        <w:t>avoir tué</w:t>
      </w:r>
      <w:r w:rsidRPr="00B94E33">
        <w:rPr>
          <w:lang w:val="fr-FR"/>
        </w:rPr>
        <w:t xml:space="preserve"> son fils et </w:t>
      </w:r>
      <w:r w:rsidR="00931F02" w:rsidRPr="00B94E33">
        <w:rPr>
          <w:lang w:val="fr-FR"/>
        </w:rPr>
        <w:t>tenté</w:t>
      </w:r>
      <w:r w:rsidRPr="00B94E33">
        <w:rPr>
          <w:lang w:val="fr-FR"/>
        </w:rPr>
        <w:t xml:space="preserve"> d</w:t>
      </w:r>
      <w:r w:rsidR="00B94E33" w:rsidRPr="00B94E33">
        <w:rPr>
          <w:lang w:val="fr-FR"/>
        </w:rPr>
        <w:t>’</w:t>
      </w:r>
      <w:r w:rsidR="00174532" w:rsidRPr="00B94E33">
        <w:rPr>
          <w:lang w:val="fr-FR"/>
        </w:rPr>
        <w:t>assassin</w:t>
      </w:r>
      <w:r w:rsidR="00931F02" w:rsidRPr="00B94E33">
        <w:rPr>
          <w:lang w:val="fr-FR"/>
        </w:rPr>
        <w:t>er</w:t>
      </w:r>
      <w:r w:rsidR="00174532" w:rsidRPr="00B94E33">
        <w:rPr>
          <w:lang w:val="fr-FR"/>
        </w:rPr>
        <w:t xml:space="preserve"> la requérante.</w:t>
      </w:r>
    </w:p>
    <w:p w:rsidR="004F1679" w:rsidRPr="00B94E33" w:rsidRDefault="005B3F38" w:rsidP="00B94E33">
      <w:pPr>
        <w:pStyle w:val="ECHRPara"/>
        <w:rPr>
          <w:rFonts w:ascii="Times New Roman" w:eastAsia="Times New Roman" w:hAnsi="Times New Roman" w:cs="Times New Roman"/>
          <w:szCs w:val="24"/>
          <w:lang w:val="fr-FR"/>
        </w:rPr>
      </w:pPr>
      <w:r w:rsidRPr="00B94E33">
        <w:fldChar w:fldCharType="begin"/>
      </w:r>
      <w:r w:rsidRPr="00B94E33">
        <w:rPr>
          <w:lang w:val="fr-FR"/>
        </w:rPr>
        <w:instrText xml:space="preserve"> SEQ level0 \*arabic </w:instrText>
      </w:r>
      <w:r w:rsidRPr="00B94E33">
        <w:fldChar w:fldCharType="separate"/>
      </w:r>
      <w:r w:rsidR="00B94E33" w:rsidRPr="00B94E33">
        <w:rPr>
          <w:noProof/>
          <w:lang w:val="fr-FR"/>
        </w:rPr>
        <w:t>144</w:t>
      </w:r>
      <w:r w:rsidRPr="00B94E33">
        <w:fldChar w:fldCharType="end"/>
      </w:r>
      <w:r w:rsidRPr="00B94E33">
        <w:rPr>
          <w:lang w:val="fr-FR"/>
        </w:rPr>
        <w:t>.  </w:t>
      </w:r>
      <w:r w:rsidR="00174532" w:rsidRPr="00B94E33">
        <w:rPr>
          <w:lang w:val="fr-FR"/>
        </w:rPr>
        <w:t>L</w:t>
      </w:r>
      <w:r w:rsidR="00B94E33" w:rsidRPr="00B94E33">
        <w:rPr>
          <w:lang w:val="fr-FR"/>
        </w:rPr>
        <w:t>’</w:t>
      </w:r>
      <w:r w:rsidR="00766DB3" w:rsidRPr="00B94E33">
        <w:rPr>
          <w:lang w:val="fr-FR"/>
        </w:rPr>
        <w:t xml:space="preserve">inertie </w:t>
      </w:r>
      <w:r w:rsidR="00113BC5" w:rsidRPr="00B94E33">
        <w:rPr>
          <w:lang w:val="fr-FR"/>
        </w:rPr>
        <w:t>des autorités</w:t>
      </w:r>
      <w:r w:rsidR="00766DB3" w:rsidRPr="00B94E33">
        <w:rPr>
          <w:lang w:val="fr-FR"/>
        </w:rPr>
        <w:t xml:space="preserve"> dans </w:t>
      </w:r>
      <w:r w:rsidR="001B1C13" w:rsidRPr="00B94E33">
        <w:rPr>
          <w:lang w:val="fr-FR"/>
        </w:rPr>
        <w:t>la présente espèce</w:t>
      </w:r>
      <w:r w:rsidR="00766DB3" w:rsidRPr="00B94E33">
        <w:rPr>
          <w:lang w:val="fr-FR"/>
        </w:rPr>
        <w:t xml:space="preserve"> est </w:t>
      </w:r>
      <w:r w:rsidR="00931F02" w:rsidRPr="00B94E33">
        <w:rPr>
          <w:lang w:val="fr-FR"/>
        </w:rPr>
        <w:t>d</w:t>
      </w:r>
      <w:r w:rsidR="00B94E33" w:rsidRPr="00B94E33">
        <w:rPr>
          <w:lang w:val="fr-FR"/>
        </w:rPr>
        <w:t>’</w:t>
      </w:r>
      <w:r w:rsidR="00931F02" w:rsidRPr="00B94E33">
        <w:rPr>
          <w:lang w:val="fr-FR"/>
        </w:rPr>
        <w:t xml:space="preserve">autant </w:t>
      </w:r>
      <w:r w:rsidR="00766DB3" w:rsidRPr="00B94E33">
        <w:rPr>
          <w:lang w:val="fr-FR"/>
        </w:rPr>
        <w:t xml:space="preserve">plus </w:t>
      </w:r>
      <w:r w:rsidR="00174532" w:rsidRPr="00B94E33">
        <w:rPr>
          <w:lang w:val="fr-FR"/>
        </w:rPr>
        <w:t>évidente</w:t>
      </w:r>
      <w:r w:rsidR="00766DB3" w:rsidRPr="00B94E33">
        <w:rPr>
          <w:lang w:val="fr-FR"/>
        </w:rPr>
        <w:t xml:space="preserve"> </w:t>
      </w:r>
      <w:r w:rsidR="00931F02" w:rsidRPr="00B94E33">
        <w:rPr>
          <w:lang w:val="fr-FR"/>
        </w:rPr>
        <w:t>que</w:t>
      </w:r>
      <w:r w:rsidR="00766DB3" w:rsidRPr="00B94E33">
        <w:rPr>
          <w:lang w:val="fr-FR"/>
        </w:rPr>
        <w:t xml:space="preserve"> le </w:t>
      </w:r>
      <w:r w:rsidR="00923D39" w:rsidRPr="00B94E33">
        <w:rPr>
          <w:lang w:val="fr-FR"/>
        </w:rPr>
        <w:t xml:space="preserve">parquet </w:t>
      </w:r>
      <w:r w:rsidR="00766DB3" w:rsidRPr="00B94E33">
        <w:rPr>
          <w:lang w:val="fr-FR"/>
        </w:rPr>
        <w:t xml:space="preserve">avait </w:t>
      </w:r>
      <w:r w:rsidR="00174532" w:rsidRPr="00B94E33">
        <w:rPr>
          <w:lang w:val="fr-FR"/>
        </w:rPr>
        <w:t>demandé</w:t>
      </w:r>
      <w:r w:rsidR="00766DB3" w:rsidRPr="00B94E33">
        <w:rPr>
          <w:lang w:val="fr-FR"/>
        </w:rPr>
        <w:t xml:space="preserve"> </w:t>
      </w:r>
      <w:r w:rsidR="00174532" w:rsidRPr="00B94E33">
        <w:rPr>
          <w:lang w:val="fr-FR"/>
        </w:rPr>
        <w:t>à</w:t>
      </w:r>
      <w:r w:rsidR="00766DB3" w:rsidRPr="00B94E33">
        <w:rPr>
          <w:lang w:val="fr-FR"/>
        </w:rPr>
        <w:t xml:space="preserve"> la police</w:t>
      </w:r>
      <w:r w:rsidR="001372C0" w:rsidRPr="00B94E33">
        <w:rPr>
          <w:lang w:val="fr-FR"/>
        </w:rPr>
        <w:t>, resté</w:t>
      </w:r>
      <w:r w:rsidR="00875C29" w:rsidRPr="00B94E33">
        <w:rPr>
          <w:lang w:val="fr-FR"/>
        </w:rPr>
        <w:t>e</w:t>
      </w:r>
      <w:r w:rsidR="001372C0" w:rsidRPr="00B94E33">
        <w:rPr>
          <w:lang w:val="fr-FR"/>
        </w:rPr>
        <w:t xml:space="preserve"> </w:t>
      </w:r>
      <w:r w:rsidR="00875C29" w:rsidRPr="00B94E33">
        <w:rPr>
          <w:lang w:val="fr-FR"/>
        </w:rPr>
        <w:t>inactive pendant six</w:t>
      </w:r>
      <w:r w:rsidR="001372C0" w:rsidRPr="00B94E33">
        <w:rPr>
          <w:lang w:val="fr-FR"/>
        </w:rPr>
        <w:t xml:space="preserve"> mois,</w:t>
      </w:r>
      <w:r w:rsidR="00766DB3" w:rsidRPr="00B94E33">
        <w:rPr>
          <w:lang w:val="fr-FR"/>
        </w:rPr>
        <w:t xml:space="preserve"> d</w:t>
      </w:r>
      <w:r w:rsidR="00B94E33" w:rsidRPr="00B94E33">
        <w:rPr>
          <w:lang w:val="fr-FR"/>
        </w:rPr>
        <w:t>’</w:t>
      </w:r>
      <w:r w:rsidR="00766DB3" w:rsidRPr="00B94E33">
        <w:rPr>
          <w:lang w:val="fr-FR"/>
        </w:rPr>
        <w:t xml:space="preserve">agir </w:t>
      </w:r>
      <w:r w:rsidR="00875C29" w:rsidRPr="00B94E33">
        <w:rPr>
          <w:lang w:val="fr-FR"/>
        </w:rPr>
        <w:t>immédiatement</w:t>
      </w:r>
      <w:r w:rsidR="00766DB3" w:rsidRPr="00B94E33">
        <w:rPr>
          <w:lang w:val="fr-FR"/>
        </w:rPr>
        <w:t xml:space="preserve"> </w:t>
      </w:r>
      <w:r w:rsidR="00875C29" w:rsidRPr="00B94E33">
        <w:rPr>
          <w:lang w:val="fr-FR"/>
        </w:rPr>
        <w:t>eu égard à la demande de</w:t>
      </w:r>
      <w:r w:rsidR="00766DB3" w:rsidRPr="00B94E33">
        <w:rPr>
          <w:lang w:val="fr-FR"/>
        </w:rPr>
        <w:t xml:space="preserve"> mesures de protection </w:t>
      </w:r>
      <w:r w:rsidR="00875C29" w:rsidRPr="00B94E33">
        <w:rPr>
          <w:lang w:val="fr-FR"/>
        </w:rPr>
        <w:t xml:space="preserve">formulée </w:t>
      </w:r>
      <w:r w:rsidR="00766DB3" w:rsidRPr="00B94E33">
        <w:rPr>
          <w:lang w:val="fr-FR"/>
        </w:rPr>
        <w:t xml:space="preserve">par la requérante. </w:t>
      </w:r>
      <w:r w:rsidR="004F1679" w:rsidRPr="00B94E33">
        <w:rPr>
          <w:rFonts w:ascii="Times New Roman" w:eastAsia="Times New Roman" w:hAnsi="Times New Roman" w:cs="Times New Roman"/>
          <w:szCs w:val="24"/>
          <w:lang w:val="fr-FR"/>
        </w:rPr>
        <w:t>La C</w:t>
      </w:r>
      <w:r w:rsidR="00174532" w:rsidRPr="00B94E33">
        <w:rPr>
          <w:rFonts w:ascii="Times New Roman" w:eastAsia="Times New Roman" w:hAnsi="Times New Roman" w:cs="Times New Roman"/>
          <w:szCs w:val="24"/>
          <w:lang w:val="fr-FR"/>
        </w:rPr>
        <w:t xml:space="preserve">our rappelle à cet égard les constats auxquels elle est parvenue quant au manquement des autorités internes à assurer </w:t>
      </w:r>
      <w:r w:rsidR="00875C29" w:rsidRPr="00B94E33">
        <w:rPr>
          <w:rFonts w:ascii="Times New Roman" w:eastAsia="Times New Roman" w:hAnsi="Times New Roman" w:cs="Times New Roman"/>
          <w:szCs w:val="24"/>
          <w:lang w:val="fr-FR"/>
        </w:rPr>
        <w:t xml:space="preserve">à la requérante </w:t>
      </w:r>
      <w:r w:rsidR="00174532" w:rsidRPr="00B94E33">
        <w:rPr>
          <w:rFonts w:ascii="Times New Roman" w:eastAsia="Times New Roman" w:hAnsi="Times New Roman" w:cs="Times New Roman"/>
          <w:szCs w:val="24"/>
          <w:lang w:val="fr-FR"/>
        </w:rPr>
        <w:t>une protection effective et au contexte d</w:t>
      </w:r>
      <w:r w:rsidR="00B94E33" w:rsidRPr="00B94E33">
        <w:rPr>
          <w:rFonts w:ascii="Times New Roman" w:eastAsia="Times New Roman" w:hAnsi="Times New Roman" w:cs="Times New Roman"/>
          <w:szCs w:val="24"/>
          <w:lang w:val="fr-FR"/>
        </w:rPr>
        <w:t>’</w:t>
      </w:r>
      <w:r w:rsidR="00174532" w:rsidRPr="00B94E33">
        <w:rPr>
          <w:rFonts w:ascii="Times New Roman" w:eastAsia="Times New Roman" w:hAnsi="Times New Roman" w:cs="Times New Roman"/>
          <w:szCs w:val="24"/>
          <w:lang w:val="fr-FR"/>
        </w:rPr>
        <w:t>impunité dans lequel se trouvait A.T. (paragraphe</w:t>
      </w:r>
      <w:r w:rsidR="00C426D3" w:rsidRPr="00B94E33">
        <w:rPr>
          <w:rFonts w:ascii="Times New Roman" w:eastAsia="Times New Roman" w:hAnsi="Times New Roman" w:cs="Times New Roman"/>
          <w:szCs w:val="24"/>
          <w:lang w:val="fr-FR"/>
        </w:rPr>
        <w:t> </w:t>
      </w:r>
      <w:r w:rsidR="0027728B" w:rsidRPr="00B94E33">
        <w:rPr>
          <w:rFonts w:ascii="Times New Roman" w:eastAsia="Times New Roman" w:hAnsi="Times New Roman" w:cs="Times New Roman"/>
          <w:szCs w:val="24"/>
          <w:lang w:val="fr-FR"/>
        </w:rPr>
        <w:fldChar w:fldCharType="begin"/>
      </w:r>
      <w:r w:rsidR="0027728B" w:rsidRPr="00B94E33">
        <w:rPr>
          <w:rFonts w:ascii="Times New Roman" w:eastAsia="Times New Roman" w:hAnsi="Times New Roman" w:cs="Times New Roman"/>
          <w:szCs w:val="24"/>
          <w:lang w:val="fr-FR"/>
        </w:rPr>
        <w:instrText xml:space="preserve"> REF para115 \h </w:instrText>
      </w:r>
      <w:r w:rsidR="00300EDE" w:rsidRPr="00B94E33">
        <w:rPr>
          <w:rFonts w:ascii="Times New Roman" w:eastAsia="Times New Roman" w:hAnsi="Times New Roman" w:cs="Times New Roman"/>
          <w:szCs w:val="24"/>
          <w:lang w:val="fr-FR"/>
        </w:rPr>
        <w:instrText xml:space="preserve"> \* MERGEFORMAT </w:instrText>
      </w:r>
      <w:r w:rsidR="0027728B" w:rsidRPr="00B94E33">
        <w:rPr>
          <w:rFonts w:ascii="Times New Roman" w:eastAsia="Times New Roman" w:hAnsi="Times New Roman" w:cs="Times New Roman"/>
          <w:szCs w:val="24"/>
          <w:lang w:val="fr-FR"/>
        </w:rPr>
      </w:r>
      <w:r w:rsidR="0027728B" w:rsidRPr="00B94E33">
        <w:rPr>
          <w:rFonts w:ascii="Times New Roman" w:eastAsia="Times New Roman" w:hAnsi="Times New Roman" w:cs="Times New Roman"/>
          <w:szCs w:val="24"/>
          <w:lang w:val="fr-FR"/>
        </w:rPr>
        <w:fldChar w:fldCharType="separate"/>
      </w:r>
      <w:r w:rsidR="00B94E33" w:rsidRPr="00B94E33">
        <w:rPr>
          <w:noProof/>
          <w:lang w:val="fr-FR"/>
        </w:rPr>
        <w:t>117</w:t>
      </w:r>
      <w:r w:rsidR="0027728B" w:rsidRPr="00B94E33">
        <w:rPr>
          <w:rFonts w:ascii="Times New Roman" w:eastAsia="Times New Roman" w:hAnsi="Times New Roman" w:cs="Times New Roman"/>
          <w:szCs w:val="24"/>
          <w:lang w:val="fr-FR"/>
        </w:rPr>
        <w:fldChar w:fldCharType="end"/>
      </w:r>
      <w:r w:rsidR="0027728B" w:rsidRPr="00B94E33">
        <w:rPr>
          <w:rFonts w:ascii="Times New Roman" w:eastAsia="Times New Roman" w:hAnsi="Times New Roman" w:cs="Times New Roman"/>
          <w:szCs w:val="24"/>
          <w:lang w:val="fr-FR"/>
        </w:rPr>
        <w:t xml:space="preserve"> </w:t>
      </w:r>
      <w:r w:rsidR="00174532" w:rsidRPr="00B94E33">
        <w:rPr>
          <w:rFonts w:ascii="Times New Roman" w:eastAsia="Times New Roman" w:hAnsi="Times New Roman" w:cs="Times New Roman"/>
          <w:szCs w:val="24"/>
          <w:lang w:val="fr-FR"/>
        </w:rPr>
        <w:t>ci-dessus).</w:t>
      </w:r>
    </w:p>
    <w:bookmarkStart w:id="24" w:name="para138"/>
    <w:p w:rsidR="009A4363" w:rsidRPr="00B94E33" w:rsidRDefault="004F1679"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145</w:t>
      </w:r>
      <w:r w:rsidRPr="00B94E33">
        <w:rPr>
          <w:lang w:val="fr-FR"/>
        </w:rPr>
        <w:fldChar w:fldCharType="end"/>
      </w:r>
      <w:bookmarkEnd w:id="24"/>
      <w:r w:rsidRPr="00B94E33">
        <w:rPr>
          <w:lang w:val="fr-FR"/>
        </w:rPr>
        <w:t xml:space="preserve">.  Selon la Cour, la combinaison des éléments </w:t>
      </w:r>
      <w:r w:rsidR="00875C29" w:rsidRPr="00B94E33">
        <w:rPr>
          <w:lang w:val="fr-FR"/>
        </w:rPr>
        <w:t>susmentionnés</w:t>
      </w:r>
      <w:r w:rsidR="00113BC5" w:rsidRPr="00B94E33">
        <w:rPr>
          <w:lang w:val="fr-FR"/>
        </w:rPr>
        <w:t>, montre que, en sous-estimant, par leur inertie, la gravité des violences litigieuses, les autorités italiennes les ont en substance cautionnées. La requérante a par conséquence été victime, en tant que femme, d</w:t>
      </w:r>
      <w:r w:rsidR="00B94E33" w:rsidRPr="00B94E33">
        <w:rPr>
          <w:lang w:val="fr-FR"/>
        </w:rPr>
        <w:t>’</w:t>
      </w:r>
      <w:r w:rsidR="00113BC5" w:rsidRPr="00B94E33">
        <w:rPr>
          <w:lang w:val="fr-FR"/>
        </w:rPr>
        <w:t>une discrimination contraire à l</w:t>
      </w:r>
      <w:r w:rsidR="00B94E33" w:rsidRPr="00B94E33">
        <w:rPr>
          <w:lang w:val="fr-FR"/>
        </w:rPr>
        <w:t>’</w:t>
      </w:r>
      <w:r w:rsidR="00113BC5" w:rsidRPr="00B94E33">
        <w:rPr>
          <w:lang w:val="fr-FR"/>
        </w:rPr>
        <w:t>article 14 de la Convention.</w:t>
      </w:r>
      <w:r w:rsidR="0024425D" w:rsidRPr="00B94E33">
        <w:rPr>
          <w:lang w:val="fr-FR"/>
        </w:rPr>
        <w:t xml:space="preserve"> (</w:t>
      </w:r>
      <w:r w:rsidR="009F3D94" w:rsidRPr="00B94E33">
        <w:rPr>
          <w:i/>
          <w:lang w:val="fr-FR"/>
        </w:rPr>
        <w:t>T.M. et C.M.</w:t>
      </w:r>
      <w:r w:rsidR="009F3D94" w:rsidRPr="00B94E33">
        <w:rPr>
          <w:lang w:val="fr-FR"/>
        </w:rPr>
        <w:t xml:space="preserve"> </w:t>
      </w:r>
      <w:r w:rsidR="009F3D94" w:rsidRPr="00B94E33">
        <w:rPr>
          <w:i/>
          <w:lang w:val="fr-FR"/>
        </w:rPr>
        <w:t>c. République de Moldova</w:t>
      </w:r>
      <w:r w:rsidR="009F3D94" w:rsidRPr="00B94E33">
        <w:rPr>
          <w:snapToGrid w:val="0"/>
          <w:lang w:val="fr-FR"/>
        </w:rPr>
        <w:t xml:space="preserve">, </w:t>
      </w:r>
      <w:r w:rsidR="009F3D94" w:rsidRPr="00B94E33">
        <w:rPr>
          <w:lang w:val="fr-FR"/>
        </w:rPr>
        <w:t>n</w:t>
      </w:r>
      <w:r w:rsidR="009F3D94" w:rsidRPr="00B94E33">
        <w:rPr>
          <w:vertAlign w:val="superscript"/>
          <w:lang w:val="fr-FR"/>
        </w:rPr>
        <w:t>o</w:t>
      </w:r>
      <w:r w:rsidR="009F3D94" w:rsidRPr="00B94E33">
        <w:rPr>
          <w:lang w:val="fr-FR"/>
        </w:rPr>
        <w:t> 26608/11</w:t>
      </w:r>
      <w:r w:rsidR="009F3D94" w:rsidRPr="00B94E33">
        <w:rPr>
          <w:snapToGrid w:val="0"/>
          <w:lang w:val="fr-FR"/>
        </w:rPr>
        <w:t xml:space="preserve">, § 62, 28 </w:t>
      </w:r>
      <w:r w:rsidR="009F3D94" w:rsidRPr="00B94E33">
        <w:rPr>
          <w:lang w:val="fr-FR"/>
        </w:rPr>
        <w:t>janvier</w:t>
      </w:r>
      <w:r w:rsidR="009F3D94" w:rsidRPr="00B94E33">
        <w:rPr>
          <w:snapToGrid w:val="0"/>
          <w:lang w:val="fr-FR"/>
        </w:rPr>
        <w:t xml:space="preserve"> 2014 ; </w:t>
      </w:r>
      <w:r w:rsidR="0024425D" w:rsidRPr="00B94E33">
        <w:rPr>
          <w:i/>
          <w:lang w:val="fr-FR"/>
        </w:rPr>
        <w:t>Eremia</w:t>
      </w:r>
      <w:r w:rsidR="0024425D" w:rsidRPr="00B94E33">
        <w:rPr>
          <w:lang w:val="fr-FR"/>
        </w:rPr>
        <w:t xml:space="preserve">, </w:t>
      </w:r>
      <w:r w:rsidR="00C92A5D" w:rsidRPr="00B94E33">
        <w:rPr>
          <w:lang w:val="fr-FR"/>
        </w:rPr>
        <w:t>précité</w:t>
      </w:r>
      <w:r w:rsidR="0024425D" w:rsidRPr="00B94E33">
        <w:rPr>
          <w:snapToGrid w:val="0"/>
          <w:lang w:val="fr-FR"/>
        </w:rPr>
        <w:t xml:space="preserve">, § 98, </w:t>
      </w:r>
      <w:r w:rsidR="0024425D" w:rsidRPr="00B94E33">
        <w:rPr>
          <w:lang w:val="fr-FR"/>
        </w:rPr>
        <w:t xml:space="preserve">et </w:t>
      </w:r>
      <w:r w:rsidR="0024425D" w:rsidRPr="00B94E33">
        <w:rPr>
          <w:i/>
          <w:snapToGrid w:val="0"/>
          <w:lang w:val="fr-FR"/>
        </w:rPr>
        <w:t>Mudric c.</w:t>
      </w:r>
      <w:r w:rsidR="004B08DB" w:rsidRPr="00B94E33">
        <w:rPr>
          <w:i/>
          <w:snapToGrid w:val="0"/>
          <w:lang w:val="fr-FR"/>
        </w:rPr>
        <w:t> </w:t>
      </w:r>
      <w:r w:rsidR="0024425D" w:rsidRPr="00B94E33">
        <w:rPr>
          <w:i/>
          <w:snapToGrid w:val="0"/>
          <w:lang w:val="fr-FR"/>
        </w:rPr>
        <w:t>République de Moldova</w:t>
      </w:r>
      <w:r w:rsidR="0024425D" w:rsidRPr="00B94E33">
        <w:rPr>
          <w:snapToGrid w:val="0"/>
          <w:lang w:val="fr-FR"/>
        </w:rPr>
        <w:t>, n</w:t>
      </w:r>
      <w:r w:rsidR="0024425D" w:rsidRPr="00B94E33">
        <w:rPr>
          <w:snapToGrid w:val="0"/>
          <w:vertAlign w:val="superscript"/>
          <w:lang w:val="fr-FR"/>
        </w:rPr>
        <w:t>o</w:t>
      </w:r>
      <w:r w:rsidR="009F3D94" w:rsidRPr="00B94E33">
        <w:rPr>
          <w:snapToGrid w:val="0"/>
          <w:lang w:val="fr-FR"/>
        </w:rPr>
        <w:t> </w:t>
      </w:r>
      <w:r w:rsidR="0024425D" w:rsidRPr="00B94E33">
        <w:rPr>
          <w:snapToGrid w:val="0"/>
          <w:lang w:val="fr-FR"/>
        </w:rPr>
        <w:t>74839/10, § 63, 16 juillet 2013).</w:t>
      </w:r>
      <w:r w:rsidR="00113BC5" w:rsidRPr="00B94E33">
        <w:rPr>
          <w:lang w:val="fr-FR"/>
        </w:rPr>
        <w:t xml:space="preserve"> En outre, </w:t>
      </w:r>
      <w:r w:rsidRPr="00B94E33">
        <w:rPr>
          <w:lang w:val="fr-FR"/>
        </w:rPr>
        <w:t xml:space="preserve">les conclusions du </w:t>
      </w:r>
      <w:r w:rsidR="00AE7DA5" w:rsidRPr="00B94E33">
        <w:rPr>
          <w:lang w:val="fr-FR"/>
        </w:rPr>
        <w:t>r</w:t>
      </w:r>
      <w:r w:rsidRPr="00B94E33">
        <w:rPr>
          <w:lang w:val="fr-FR"/>
        </w:rPr>
        <w:t xml:space="preserve">apporteur </w:t>
      </w:r>
      <w:r w:rsidR="00AE7DA5" w:rsidRPr="00B94E33">
        <w:rPr>
          <w:lang w:val="fr-FR"/>
        </w:rPr>
        <w:t>s</w:t>
      </w:r>
      <w:r w:rsidRPr="00B94E33">
        <w:rPr>
          <w:lang w:val="fr-FR"/>
        </w:rPr>
        <w:t>pécial chargé de la question de</w:t>
      </w:r>
      <w:r w:rsidR="009428D6" w:rsidRPr="00B94E33">
        <w:rPr>
          <w:lang w:val="fr-FR"/>
        </w:rPr>
        <w:t>s</w:t>
      </w:r>
      <w:r w:rsidRPr="00B94E33">
        <w:rPr>
          <w:lang w:val="fr-FR"/>
        </w:rPr>
        <w:t xml:space="preserve"> violence</w:t>
      </w:r>
      <w:r w:rsidR="009428D6" w:rsidRPr="00B94E33">
        <w:rPr>
          <w:lang w:val="fr-FR"/>
        </w:rPr>
        <w:t>s</w:t>
      </w:r>
      <w:r w:rsidRPr="00B94E33">
        <w:rPr>
          <w:lang w:val="fr-FR"/>
        </w:rPr>
        <w:t xml:space="preserve"> contre les femmes, </w:t>
      </w:r>
      <w:r w:rsidR="00931F02" w:rsidRPr="00B94E33">
        <w:rPr>
          <w:lang w:val="fr-FR"/>
        </w:rPr>
        <w:t xml:space="preserve">de </w:t>
      </w:r>
      <w:r w:rsidR="00C87598" w:rsidRPr="00B94E33">
        <w:rPr>
          <w:lang w:val="fr-FR"/>
        </w:rPr>
        <w:t>leurs</w:t>
      </w:r>
      <w:r w:rsidRPr="00B94E33">
        <w:rPr>
          <w:lang w:val="fr-FR"/>
        </w:rPr>
        <w:t xml:space="preserve"> causes et conséquences </w:t>
      </w:r>
      <w:r w:rsidR="00AE7DA5" w:rsidRPr="00B94E33">
        <w:rPr>
          <w:lang w:val="fr-FR"/>
        </w:rPr>
        <w:t>à la suite de</w:t>
      </w:r>
      <w:r w:rsidRPr="00B94E33">
        <w:rPr>
          <w:lang w:val="fr-FR"/>
        </w:rPr>
        <w:t xml:space="preserve"> sa mission en Italie (paragraphe </w:t>
      </w:r>
      <w:r w:rsidRPr="00B94E33">
        <w:rPr>
          <w:lang w:val="fr-FR"/>
        </w:rPr>
        <w:fldChar w:fldCharType="begin"/>
      </w:r>
      <w:r w:rsidRPr="00B94E33">
        <w:rPr>
          <w:lang w:val="fr-FR"/>
        </w:rPr>
        <w:instrText xml:space="preserve"> REF para58 \h  \* MERGEFORMAT </w:instrText>
      </w:r>
      <w:r w:rsidRPr="00B94E33">
        <w:rPr>
          <w:lang w:val="fr-FR"/>
        </w:rPr>
      </w:r>
      <w:r w:rsidRPr="00B94E33">
        <w:rPr>
          <w:lang w:val="fr-FR"/>
        </w:rPr>
        <w:fldChar w:fldCharType="separate"/>
      </w:r>
      <w:r w:rsidR="00B94E33" w:rsidRPr="00B94E33">
        <w:rPr>
          <w:noProof/>
          <w:lang w:val="fr-FR"/>
        </w:rPr>
        <w:t>59</w:t>
      </w:r>
      <w:r w:rsidRPr="00B94E33">
        <w:rPr>
          <w:lang w:val="fr-FR"/>
        </w:rPr>
        <w:fldChar w:fldCharType="end"/>
      </w:r>
      <w:r w:rsidRPr="00B94E33">
        <w:rPr>
          <w:lang w:val="fr-FR"/>
        </w:rPr>
        <w:t xml:space="preserve"> ci-dessus), celle</w:t>
      </w:r>
      <w:r w:rsidR="00DF39DE" w:rsidRPr="00B94E33">
        <w:rPr>
          <w:lang w:val="fr-FR"/>
        </w:rPr>
        <w:t xml:space="preserve">s du </w:t>
      </w:r>
      <w:r w:rsidR="00AE7DA5" w:rsidRPr="00B94E33">
        <w:rPr>
          <w:lang w:val="fr-FR"/>
        </w:rPr>
        <w:t>C</w:t>
      </w:r>
      <w:r w:rsidR="00DF39DE" w:rsidRPr="00B94E33">
        <w:rPr>
          <w:lang w:val="fr-FR"/>
        </w:rPr>
        <w:t xml:space="preserve">omité de la CEDAW (paragraphe </w:t>
      </w:r>
      <w:r w:rsidR="00DF39DE" w:rsidRPr="00B94E33">
        <w:rPr>
          <w:lang w:val="fr-FR"/>
        </w:rPr>
        <w:fldChar w:fldCharType="begin"/>
      </w:r>
      <w:r w:rsidR="00DF39DE" w:rsidRPr="00B94E33">
        <w:rPr>
          <w:lang w:val="fr-FR"/>
        </w:rPr>
        <w:instrText xml:space="preserve"> REF para57 \h </w:instrText>
      </w:r>
      <w:r w:rsidR="00A84E66" w:rsidRPr="00B94E33">
        <w:rPr>
          <w:lang w:val="fr-FR"/>
        </w:rPr>
        <w:instrText xml:space="preserve"> \* MERGEFORMAT </w:instrText>
      </w:r>
      <w:r w:rsidR="00DF39DE" w:rsidRPr="00B94E33">
        <w:rPr>
          <w:lang w:val="fr-FR"/>
        </w:rPr>
      </w:r>
      <w:r w:rsidR="00DF39DE" w:rsidRPr="00B94E33">
        <w:rPr>
          <w:lang w:val="fr-FR"/>
        </w:rPr>
        <w:fldChar w:fldCharType="separate"/>
      </w:r>
      <w:r w:rsidR="00B94E33" w:rsidRPr="00B94E33">
        <w:rPr>
          <w:noProof/>
          <w:lang w:val="fr-FR"/>
        </w:rPr>
        <w:t>57</w:t>
      </w:r>
      <w:r w:rsidR="00DF39DE" w:rsidRPr="00B94E33">
        <w:rPr>
          <w:lang w:val="fr-FR"/>
        </w:rPr>
        <w:fldChar w:fldCharType="end"/>
      </w:r>
      <w:r w:rsidR="00DF39DE" w:rsidRPr="00B94E33">
        <w:rPr>
          <w:lang w:val="fr-FR"/>
        </w:rPr>
        <w:t xml:space="preserve"> ci-dessus) </w:t>
      </w:r>
      <w:r w:rsidR="00AE7DA5" w:rsidRPr="00B94E33">
        <w:rPr>
          <w:lang w:val="fr-FR"/>
        </w:rPr>
        <w:t xml:space="preserve">ainsi que </w:t>
      </w:r>
      <w:r w:rsidR="00DF39DE" w:rsidRPr="00B94E33">
        <w:rPr>
          <w:lang w:val="fr-FR"/>
        </w:rPr>
        <w:t xml:space="preserve">celles </w:t>
      </w:r>
      <w:r w:rsidRPr="00B94E33">
        <w:rPr>
          <w:lang w:val="fr-FR"/>
        </w:rPr>
        <w:t>du Bur</w:t>
      </w:r>
      <w:r w:rsidR="00DF39DE" w:rsidRPr="00B94E33">
        <w:rPr>
          <w:lang w:val="fr-FR"/>
        </w:rPr>
        <w:t>eau national des statistiques (</w:t>
      </w:r>
      <w:r w:rsidRPr="00B94E33">
        <w:rPr>
          <w:lang w:val="fr-FR"/>
        </w:rPr>
        <w:t xml:space="preserve">paragraphe </w:t>
      </w:r>
      <w:r w:rsidRPr="00B94E33">
        <w:rPr>
          <w:lang w:val="fr-FR"/>
        </w:rPr>
        <w:fldChar w:fldCharType="begin"/>
      </w:r>
      <w:r w:rsidRPr="00B94E33">
        <w:rPr>
          <w:lang w:val="fr-FR"/>
        </w:rPr>
        <w:instrText xml:space="preserve"> REF para54istat \h  \* MERGEFORMAT </w:instrText>
      </w:r>
      <w:r w:rsidRPr="00B94E33">
        <w:rPr>
          <w:lang w:val="fr-FR"/>
        </w:rPr>
      </w:r>
      <w:r w:rsidRPr="00B94E33">
        <w:rPr>
          <w:lang w:val="fr-FR"/>
        </w:rPr>
        <w:fldChar w:fldCharType="separate"/>
      </w:r>
      <w:r w:rsidR="00B94E33" w:rsidRPr="00B94E33">
        <w:rPr>
          <w:noProof/>
          <w:lang w:val="fr-FR"/>
        </w:rPr>
        <w:t>55</w:t>
      </w:r>
      <w:r w:rsidRPr="00B94E33">
        <w:rPr>
          <w:lang w:val="fr-FR"/>
        </w:rPr>
        <w:fldChar w:fldCharType="end"/>
      </w:r>
      <w:r w:rsidRPr="00B94E33">
        <w:rPr>
          <w:lang w:val="fr-FR"/>
        </w:rPr>
        <w:t xml:space="preserve"> ci-dessus) montrent l</w:t>
      </w:r>
      <w:r w:rsidR="00B94E33" w:rsidRPr="00B94E33">
        <w:rPr>
          <w:lang w:val="fr-FR"/>
        </w:rPr>
        <w:t>’</w:t>
      </w:r>
      <w:r w:rsidRPr="00B94E33">
        <w:rPr>
          <w:lang w:val="fr-FR"/>
        </w:rPr>
        <w:t>ampleur du problème de</w:t>
      </w:r>
      <w:r w:rsidR="00C73681" w:rsidRPr="00B94E33">
        <w:rPr>
          <w:lang w:val="fr-FR"/>
        </w:rPr>
        <w:t>s</w:t>
      </w:r>
      <w:r w:rsidRPr="00B94E33">
        <w:rPr>
          <w:lang w:val="fr-FR"/>
        </w:rPr>
        <w:t xml:space="preserve"> violence</w:t>
      </w:r>
      <w:r w:rsidR="00C73681" w:rsidRPr="00B94E33">
        <w:rPr>
          <w:lang w:val="fr-FR"/>
        </w:rPr>
        <w:t>s</w:t>
      </w:r>
      <w:r w:rsidRPr="00B94E33">
        <w:rPr>
          <w:lang w:val="fr-FR"/>
        </w:rPr>
        <w:t xml:space="preserve"> domestique</w:t>
      </w:r>
      <w:r w:rsidR="00C73681" w:rsidRPr="00B94E33">
        <w:rPr>
          <w:lang w:val="fr-FR"/>
        </w:rPr>
        <w:t>s</w:t>
      </w:r>
      <w:r w:rsidRPr="00B94E33">
        <w:rPr>
          <w:lang w:val="fr-FR"/>
        </w:rPr>
        <w:t xml:space="preserve"> en Italie et </w:t>
      </w:r>
      <w:r w:rsidR="00ED0798" w:rsidRPr="00B94E33">
        <w:rPr>
          <w:lang w:val="fr-FR"/>
        </w:rPr>
        <w:t xml:space="preserve">la </w:t>
      </w:r>
      <w:r w:rsidRPr="00B94E33">
        <w:rPr>
          <w:lang w:val="fr-FR"/>
        </w:rPr>
        <w:t>discriminat</w:t>
      </w:r>
      <w:r w:rsidR="00ED0798" w:rsidRPr="00B94E33">
        <w:rPr>
          <w:lang w:val="fr-FR"/>
        </w:rPr>
        <w:t>ion que subissent les</w:t>
      </w:r>
      <w:r w:rsidRPr="00B94E33">
        <w:rPr>
          <w:lang w:val="fr-FR"/>
        </w:rPr>
        <w:t xml:space="preserve"> femmes</w:t>
      </w:r>
      <w:r w:rsidR="00ED0798" w:rsidRPr="00B94E33">
        <w:rPr>
          <w:lang w:val="fr-FR"/>
        </w:rPr>
        <w:t xml:space="preserve"> à ce sujet</w:t>
      </w:r>
      <w:r w:rsidRPr="00B94E33">
        <w:rPr>
          <w:lang w:val="fr-FR"/>
        </w:rPr>
        <w:t>.</w:t>
      </w:r>
      <w:r w:rsidR="00377CA6" w:rsidRPr="00B94E33">
        <w:rPr>
          <w:lang w:val="fr-FR"/>
        </w:rPr>
        <w:t xml:space="preserve"> </w:t>
      </w:r>
      <w:r w:rsidR="003C76AB" w:rsidRPr="00B94E33">
        <w:rPr>
          <w:lang w:val="fr-FR"/>
        </w:rPr>
        <w:t>La</w:t>
      </w:r>
      <w:r w:rsidR="00377CA6" w:rsidRPr="00B94E33">
        <w:rPr>
          <w:lang w:val="fr-FR"/>
        </w:rPr>
        <w:t xml:space="preserve"> Cour estime que la requérante a apporté un commencement de preuve, étayé par des données statistiques non contestées</w:t>
      </w:r>
      <w:r w:rsidR="009F3D94" w:rsidRPr="00B94E33">
        <w:rPr>
          <w:lang w:val="fr-FR"/>
        </w:rPr>
        <w:t xml:space="preserve"> qui </w:t>
      </w:r>
      <w:r w:rsidR="00446AD2" w:rsidRPr="00B94E33">
        <w:rPr>
          <w:lang w:val="fr-FR"/>
        </w:rPr>
        <w:t>démontrent</w:t>
      </w:r>
      <w:r w:rsidR="00C87598" w:rsidRPr="00B94E33">
        <w:rPr>
          <w:lang w:val="fr-FR"/>
        </w:rPr>
        <w:t xml:space="preserve"> </w:t>
      </w:r>
      <w:r w:rsidR="00446AD2" w:rsidRPr="00B94E33">
        <w:rPr>
          <w:lang w:val="fr-FR"/>
        </w:rPr>
        <w:t>d</w:t>
      </w:r>
      <w:r w:rsidR="00B94E33" w:rsidRPr="00B94E33">
        <w:rPr>
          <w:lang w:val="fr-FR"/>
        </w:rPr>
        <w:t>’</w:t>
      </w:r>
      <w:r w:rsidR="00446AD2" w:rsidRPr="00B94E33">
        <w:rPr>
          <w:lang w:val="fr-FR"/>
        </w:rPr>
        <w:t>une part q</w:t>
      </w:r>
      <w:r w:rsidR="00377CA6" w:rsidRPr="00B94E33">
        <w:rPr>
          <w:lang w:val="fr-FR"/>
        </w:rPr>
        <w:t>ue l</w:t>
      </w:r>
      <w:r w:rsidR="00C73681" w:rsidRPr="00B94E33">
        <w:rPr>
          <w:lang w:val="fr-FR"/>
        </w:rPr>
        <w:t>es</w:t>
      </w:r>
      <w:r w:rsidR="00377CA6" w:rsidRPr="00B94E33">
        <w:rPr>
          <w:lang w:val="fr-FR"/>
        </w:rPr>
        <w:t xml:space="preserve"> violence</w:t>
      </w:r>
      <w:r w:rsidR="00C73681" w:rsidRPr="00B94E33">
        <w:rPr>
          <w:lang w:val="fr-FR"/>
        </w:rPr>
        <w:t>s</w:t>
      </w:r>
      <w:r w:rsidR="00377CA6" w:rsidRPr="00B94E33">
        <w:rPr>
          <w:lang w:val="fr-FR"/>
        </w:rPr>
        <w:t xml:space="preserve"> domestique</w:t>
      </w:r>
      <w:r w:rsidR="00C73681" w:rsidRPr="00B94E33">
        <w:rPr>
          <w:lang w:val="fr-FR"/>
        </w:rPr>
        <w:t>s</w:t>
      </w:r>
      <w:r w:rsidR="00377CA6" w:rsidRPr="00B94E33">
        <w:rPr>
          <w:lang w:val="fr-FR"/>
        </w:rPr>
        <w:t xml:space="preserve"> touche</w:t>
      </w:r>
      <w:r w:rsidR="00C73681" w:rsidRPr="00B94E33">
        <w:rPr>
          <w:lang w:val="fr-FR"/>
        </w:rPr>
        <w:t>nt</w:t>
      </w:r>
      <w:r w:rsidR="00377CA6" w:rsidRPr="00B94E33">
        <w:rPr>
          <w:lang w:val="fr-FR"/>
        </w:rPr>
        <w:t xml:space="preserve"> principalement les femmes</w:t>
      </w:r>
      <w:r w:rsidR="00E555E3" w:rsidRPr="00B94E33">
        <w:rPr>
          <w:lang w:val="fr-FR"/>
        </w:rPr>
        <w:t xml:space="preserve"> et que</w:t>
      </w:r>
      <w:r w:rsidR="00075D84" w:rsidRPr="00B94E33">
        <w:rPr>
          <w:lang w:val="fr-FR"/>
        </w:rPr>
        <w:t>,</w:t>
      </w:r>
      <w:r w:rsidR="00E555E3" w:rsidRPr="00B94E33">
        <w:rPr>
          <w:lang w:val="fr-FR"/>
        </w:rPr>
        <w:t xml:space="preserve"> nonobstant les réformes entreprises</w:t>
      </w:r>
      <w:r w:rsidR="00075D84" w:rsidRPr="00B94E33">
        <w:rPr>
          <w:lang w:val="fr-FR"/>
        </w:rPr>
        <w:t>,</w:t>
      </w:r>
      <w:r w:rsidR="00E555E3" w:rsidRPr="00B94E33">
        <w:rPr>
          <w:lang w:val="fr-FR"/>
        </w:rPr>
        <w:t xml:space="preserve"> un nombre </w:t>
      </w:r>
      <w:r w:rsidR="003C76AB" w:rsidRPr="00B94E33">
        <w:rPr>
          <w:lang w:val="fr-FR"/>
        </w:rPr>
        <w:t xml:space="preserve">important </w:t>
      </w:r>
      <w:r w:rsidR="00E555E3" w:rsidRPr="00B94E33">
        <w:rPr>
          <w:lang w:val="fr-FR"/>
        </w:rPr>
        <w:t xml:space="preserve">de femmes meurent assassinées par leur compagnon ou </w:t>
      </w:r>
      <w:r w:rsidR="00446AD2" w:rsidRPr="00B94E33">
        <w:rPr>
          <w:lang w:val="fr-FR"/>
        </w:rPr>
        <w:t xml:space="preserve">par </w:t>
      </w:r>
      <w:r w:rsidR="00E555E3" w:rsidRPr="00B94E33">
        <w:rPr>
          <w:lang w:val="fr-FR"/>
        </w:rPr>
        <w:t xml:space="preserve">leur ancien compagnon (fémicides) et </w:t>
      </w:r>
      <w:r w:rsidR="00446AD2" w:rsidRPr="00B94E33">
        <w:rPr>
          <w:lang w:val="fr-FR"/>
        </w:rPr>
        <w:t>d</w:t>
      </w:r>
      <w:r w:rsidR="00B94E33" w:rsidRPr="00B94E33">
        <w:rPr>
          <w:lang w:val="fr-FR"/>
        </w:rPr>
        <w:t>’</w:t>
      </w:r>
      <w:r w:rsidR="00446AD2" w:rsidRPr="00B94E33">
        <w:rPr>
          <w:lang w:val="fr-FR"/>
        </w:rPr>
        <w:t xml:space="preserve">autre part </w:t>
      </w:r>
      <w:r w:rsidR="00931F02" w:rsidRPr="00B94E33">
        <w:rPr>
          <w:lang w:val="fr-FR"/>
        </w:rPr>
        <w:t xml:space="preserve">que les </w:t>
      </w:r>
      <w:r w:rsidR="00E555E3" w:rsidRPr="00B94E33">
        <w:rPr>
          <w:lang w:val="fr-FR"/>
        </w:rPr>
        <w:t>attitudes socioculturelles de tolérance à l</w:t>
      </w:r>
      <w:r w:rsidR="00B94E33" w:rsidRPr="00B94E33">
        <w:rPr>
          <w:lang w:val="fr-FR"/>
        </w:rPr>
        <w:t>’</w:t>
      </w:r>
      <w:r w:rsidR="00E555E3" w:rsidRPr="00B94E33">
        <w:rPr>
          <w:lang w:val="fr-FR"/>
        </w:rPr>
        <w:t>égard de</w:t>
      </w:r>
      <w:r w:rsidR="00931F02" w:rsidRPr="00B94E33">
        <w:rPr>
          <w:lang w:val="fr-FR"/>
        </w:rPr>
        <w:t>s</w:t>
      </w:r>
      <w:r w:rsidR="00E555E3" w:rsidRPr="00B94E33">
        <w:rPr>
          <w:lang w:val="fr-FR"/>
        </w:rPr>
        <w:t xml:space="preserve"> violence</w:t>
      </w:r>
      <w:r w:rsidR="00931F02" w:rsidRPr="00B94E33">
        <w:rPr>
          <w:lang w:val="fr-FR"/>
        </w:rPr>
        <w:t>s</w:t>
      </w:r>
      <w:r w:rsidR="00E555E3" w:rsidRPr="00B94E33">
        <w:rPr>
          <w:lang w:val="fr-FR"/>
        </w:rPr>
        <w:t xml:space="preserve"> </w:t>
      </w:r>
      <w:r w:rsidR="00B8461A" w:rsidRPr="00B94E33">
        <w:rPr>
          <w:lang w:val="fr-FR"/>
        </w:rPr>
        <w:t>domestiques</w:t>
      </w:r>
      <w:r w:rsidR="00E555E3" w:rsidRPr="00B94E33">
        <w:rPr>
          <w:lang w:val="fr-FR"/>
        </w:rPr>
        <w:t xml:space="preserve"> </w:t>
      </w:r>
      <w:r w:rsidR="00931F02" w:rsidRPr="00B94E33">
        <w:rPr>
          <w:lang w:val="fr-FR"/>
        </w:rPr>
        <w:t xml:space="preserve">persistent </w:t>
      </w:r>
      <w:r w:rsidR="00E555E3" w:rsidRPr="00B94E33">
        <w:rPr>
          <w:lang w:val="fr-FR"/>
        </w:rPr>
        <w:t>(paragraphes</w:t>
      </w:r>
      <w:r w:rsidR="00075D84" w:rsidRPr="00B94E33">
        <w:rPr>
          <w:lang w:val="fr-FR"/>
        </w:rPr>
        <w:t xml:space="preserve"> </w:t>
      </w:r>
      <w:r w:rsidR="00E555E3" w:rsidRPr="00B94E33">
        <w:rPr>
          <w:lang w:val="fr-FR"/>
        </w:rPr>
        <w:fldChar w:fldCharType="begin"/>
      </w:r>
      <w:r w:rsidR="00E555E3" w:rsidRPr="00B94E33">
        <w:rPr>
          <w:lang w:val="fr-FR"/>
        </w:rPr>
        <w:instrText xml:space="preserve"> REF para57 \h </w:instrText>
      </w:r>
      <w:r w:rsidR="00A84E66" w:rsidRPr="00B94E33">
        <w:rPr>
          <w:lang w:val="fr-FR"/>
        </w:rPr>
        <w:instrText xml:space="preserve"> \* MERGEFORMAT </w:instrText>
      </w:r>
      <w:r w:rsidR="00E555E3" w:rsidRPr="00B94E33">
        <w:rPr>
          <w:lang w:val="fr-FR"/>
        </w:rPr>
      </w:r>
      <w:r w:rsidR="00E555E3" w:rsidRPr="00B94E33">
        <w:rPr>
          <w:lang w:val="fr-FR"/>
        </w:rPr>
        <w:fldChar w:fldCharType="separate"/>
      </w:r>
      <w:r w:rsidR="00B94E33" w:rsidRPr="00B94E33">
        <w:rPr>
          <w:lang w:val="fr-FR"/>
        </w:rPr>
        <w:t>57</w:t>
      </w:r>
      <w:r w:rsidR="00E555E3" w:rsidRPr="00B94E33">
        <w:rPr>
          <w:lang w:val="fr-FR"/>
        </w:rPr>
        <w:fldChar w:fldCharType="end"/>
      </w:r>
      <w:r w:rsidR="00E555E3" w:rsidRPr="00B94E33">
        <w:rPr>
          <w:lang w:val="fr-FR"/>
        </w:rPr>
        <w:t xml:space="preserve"> et </w:t>
      </w:r>
      <w:r w:rsidR="00E555E3" w:rsidRPr="00B94E33">
        <w:rPr>
          <w:lang w:val="fr-FR"/>
        </w:rPr>
        <w:fldChar w:fldCharType="begin"/>
      </w:r>
      <w:r w:rsidR="00E555E3" w:rsidRPr="00B94E33">
        <w:rPr>
          <w:lang w:val="fr-FR"/>
        </w:rPr>
        <w:instrText xml:space="preserve"> REF para59 \h </w:instrText>
      </w:r>
      <w:r w:rsidR="00A84E66" w:rsidRPr="00B94E33">
        <w:rPr>
          <w:lang w:val="fr-FR"/>
        </w:rPr>
        <w:instrText xml:space="preserve"> \* MERGEFORMAT </w:instrText>
      </w:r>
      <w:r w:rsidR="00E555E3" w:rsidRPr="00B94E33">
        <w:rPr>
          <w:lang w:val="fr-FR"/>
        </w:rPr>
      </w:r>
      <w:r w:rsidR="00E555E3" w:rsidRPr="00B94E33">
        <w:rPr>
          <w:lang w:val="fr-FR"/>
        </w:rPr>
        <w:fldChar w:fldCharType="separate"/>
      </w:r>
      <w:r w:rsidR="00B94E33" w:rsidRPr="00B94E33">
        <w:rPr>
          <w:lang w:val="fr-FR"/>
        </w:rPr>
        <w:t>59</w:t>
      </w:r>
      <w:r w:rsidR="00E555E3" w:rsidRPr="00B94E33">
        <w:rPr>
          <w:lang w:val="fr-FR"/>
        </w:rPr>
        <w:fldChar w:fldCharType="end"/>
      </w:r>
      <w:r w:rsidR="009A4363" w:rsidRPr="00B94E33">
        <w:rPr>
          <w:lang w:val="fr-FR"/>
        </w:rPr>
        <w:t xml:space="preserve"> ci</w:t>
      </w:r>
      <w:r w:rsidR="009A4363" w:rsidRPr="00B94E33">
        <w:rPr>
          <w:lang w:val="fr-FR"/>
        </w:rPr>
        <w:noBreakHyphen/>
      </w:r>
      <w:r w:rsidR="00E555E3" w:rsidRPr="00B94E33">
        <w:rPr>
          <w:lang w:val="fr-FR"/>
        </w:rPr>
        <w:t>dessus).</w:t>
      </w:r>
    </w:p>
    <w:p w:rsidR="009A4363" w:rsidRPr="00B94E33" w:rsidRDefault="002F3EA4" w:rsidP="00B94E33">
      <w:pPr>
        <w:pStyle w:val="ECHRPara"/>
        <w:rPr>
          <w:rFonts w:ascii="Times New Roman" w:hAnsi="Times New Roman" w:cs="Times New Roman"/>
          <w:color w:val="000000"/>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146</w:t>
      </w:r>
      <w:r w:rsidRPr="00B94E33">
        <w:rPr>
          <w:lang w:val="fr-FR"/>
        </w:rPr>
        <w:fldChar w:fldCharType="end"/>
      </w:r>
      <w:r w:rsidRPr="00B94E33">
        <w:rPr>
          <w:lang w:val="fr-FR"/>
        </w:rPr>
        <w:t>.  </w:t>
      </w:r>
      <w:r w:rsidR="004E29DB" w:rsidRPr="00B94E33">
        <w:rPr>
          <w:lang w:val="fr-FR"/>
        </w:rPr>
        <w:t xml:space="preserve">Le commencement de preuve en cause, non contesté par le Gouvernement, distingue la présente espèce de </w:t>
      </w:r>
      <w:r w:rsidRPr="00B94E33">
        <w:rPr>
          <w:rFonts w:ascii="Times New Roman" w:hAnsi="Times New Roman" w:cs="Times New Roman"/>
          <w:color w:val="000000"/>
          <w:lang w:val="fr-FR"/>
        </w:rPr>
        <w:t>l</w:t>
      </w:r>
      <w:r w:rsidR="00B94E33" w:rsidRPr="00B94E33">
        <w:rPr>
          <w:rFonts w:ascii="Times New Roman" w:hAnsi="Times New Roman" w:cs="Times New Roman"/>
          <w:color w:val="000000"/>
          <w:lang w:val="fr-FR"/>
        </w:rPr>
        <w:t>’</w:t>
      </w:r>
      <w:r w:rsidRPr="00B94E33">
        <w:rPr>
          <w:rFonts w:ascii="Times New Roman" w:hAnsi="Times New Roman" w:cs="Times New Roman"/>
          <w:color w:val="000000"/>
          <w:lang w:val="fr-FR"/>
        </w:rPr>
        <w:t xml:space="preserve">affaire </w:t>
      </w:r>
      <w:r w:rsidRPr="00B94E33">
        <w:rPr>
          <w:rFonts w:ascii="Times New Roman" w:hAnsi="Times New Roman" w:cs="Times New Roman"/>
          <w:i/>
          <w:iCs/>
          <w:color w:val="000000"/>
          <w:lang w:val="fr-FR"/>
        </w:rPr>
        <w:t xml:space="preserve">Rumor </w:t>
      </w:r>
      <w:r w:rsidRPr="00B94E33">
        <w:rPr>
          <w:rFonts w:ascii="Times New Roman" w:hAnsi="Times New Roman" w:cs="Times New Roman"/>
          <w:color w:val="000000"/>
          <w:lang w:val="fr-FR"/>
        </w:rPr>
        <w:t>(précité § 76)</w:t>
      </w:r>
      <w:r w:rsidR="004E29DB" w:rsidRPr="00B94E33">
        <w:rPr>
          <w:rFonts w:ascii="Times New Roman" w:hAnsi="Times New Roman" w:cs="Times New Roman"/>
          <w:color w:val="000000"/>
          <w:lang w:val="fr-FR"/>
        </w:rPr>
        <w:t xml:space="preserve">, dans laquelle la Cour avait estimé – dans des circonstances de fait nettement différentes de celles ici en question – </w:t>
      </w:r>
      <w:r w:rsidRPr="00B94E33">
        <w:rPr>
          <w:rFonts w:ascii="Times New Roman" w:hAnsi="Times New Roman" w:cs="Times New Roman"/>
          <w:color w:val="000000"/>
          <w:lang w:val="fr-FR"/>
        </w:rPr>
        <w:t>que le cadre légal en Italie en matière de lutte contre les violences domestiques s</w:t>
      </w:r>
      <w:r w:rsidR="00B94E33" w:rsidRPr="00B94E33">
        <w:rPr>
          <w:rFonts w:ascii="Times New Roman" w:hAnsi="Times New Roman" w:cs="Times New Roman"/>
          <w:color w:val="000000"/>
          <w:lang w:val="fr-FR"/>
        </w:rPr>
        <w:t>’</w:t>
      </w:r>
      <w:r w:rsidRPr="00B94E33">
        <w:rPr>
          <w:rFonts w:ascii="Times New Roman" w:hAnsi="Times New Roman" w:cs="Times New Roman"/>
          <w:color w:val="000000"/>
          <w:lang w:val="fr-FR"/>
        </w:rPr>
        <w:t xml:space="preserve"> était révélé efficace dans le cas d</w:t>
      </w:r>
      <w:r w:rsidR="00B94E33" w:rsidRPr="00B94E33">
        <w:rPr>
          <w:rFonts w:ascii="Times New Roman" w:hAnsi="Times New Roman" w:cs="Times New Roman"/>
          <w:color w:val="000000"/>
          <w:lang w:val="fr-FR"/>
        </w:rPr>
        <w:t>’</w:t>
      </w:r>
      <w:r w:rsidRPr="00B94E33">
        <w:rPr>
          <w:rFonts w:ascii="Times New Roman" w:hAnsi="Times New Roman" w:cs="Times New Roman"/>
          <w:color w:val="000000"/>
          <w:lang w:val="fr-FR"/>
        </w:rPr>
        <w:t>espèce en punissant l</w:t>
      </w:r>
      <w:r w:rsidR="00B94E33" w:rsidRPr="00B94E33">
        <w:rPr>
          <w:rFonts w:ascii="Times New Roman" w:hAnsi="Times New Roman" w:cs="Times New Roman"/>
          <w:color w:val="000000"/>
          <w:lang w:val="fr-FR"/>
        </w:rPr>
        <w:t>’</w:t>
      </w:r>
      <w:r w:rsidRPr="00B94E33">
        <w:rPr>
          <w:rFonts w:ascii="Times New Roman" w:hAnsi="Times New Roman" w:cs="Times New Roman"/>
          <w:color w:val="000000"/>
          <w:lang w:val="fr-FR"/>
        </w:rPr>
        <w:t>auteur du crime dont la requérante avait été victime et en empêchant la répétition d</w:t>
      </w:r>
      <w:r w:rsidR="00B94E33" w:rsidRPr="00B94E33">
        <w:rPr>
          <w:rFonts w:ascii="Times New Roman" w:hAnsi="Times New Roman" w:cs="Times New Roman"/>
          <w:color w:val="000000"/>
          <w:lang w:val="fr-FR"/>
        </w:rPr>
        <w:t>’</w:t>
      </w:r>
      <w:r w:rsidRPr="00B94E33">
        <w:rPr>
          <w:rFonts w:ascii="Times New Roman" w:hAnsi="Times New Roman" w:cs="Times New Roman"/>
          <w:color w:val="000000"/>
          <w:lang w:val="fr-FR"/>
        </w:rPr>
        <w:t xml:space="preserve"> agressions violentes contre son intégrité physique et par conséquent elle avait conclu à la non-violation de l</w:t>
      </w:r>
      <w:r w:rsidR="00B94E33" w:rsidRPr="00B94E33">
        <w:rPr>
          <w:rFonts w:ascii="Times New Roman" w:hAnsi="Times New Roman" w:cs="Times New Roman"/>
          <w:color w:val="000000"/>
          <w:lang w:val="fr-FR"/>
        </w:rPr>
        <w:t>’</w:t>
      </w:r>
      <w:r w:rsidR="004B08DB" w:rsidRPr="00B94E33">
        <w:rPr>
          <w:rFonts w:ascii="Times New Roman" w:hAnsi="Times New Roman" w:cs="Times New Roman"/>
          <w:color w:val="000000"/>
          <w:lang w:val="fr-FR"/>
        </w:rPr>
        <w:t> </w:t>
      </w:r>
      <w:r w:rsidRPr="00B94E33">
        <w:rPr>
          <w:rFonts w:ascii="Times New Roman" w:hAnsi="Times New Roman" w:cs="Times New Roman"/>
          <w:color w:val="000000"/>
          <w:lang w:val="fr-FR"/>
        </w:rPr>
        <w:t>article 3, pris isolément et en combinaison avec l</w:t>
      </w:r>
      <w:r w:rsidR="00B94E33" w:rsidRPr="00B94E33">
        <w:rPr>
          <w:rFonts w:ascii="Times New Roman" w:hAnsi="Times New Roman" w:cs="Times New Roman"/>
          <w:color w:val="000000"/>
          <w:lang w:val="fr-FR"/>
        </w:rPr>
        <w:t>’</w:t>
      </w:r>
      <w:r w:rsidRPr="00B94E33">
        <w:rPr>
          <w:rFonts w:ascii="Times New Roman" w:hAnsi="Times New Roman" w:cs="Times New Roman"/>
          <w:color w:val="000000"/>
          <w:lang w:val="fr-FR"/>
        </w:rPr>
        <w:t xml:space="preserve"> article 14</w:t>
      </w:r>
      <w:r w:rsidR="005946B5" w:rsidRPr="00B94E33">
        <w:rPr>
          <w:rFonts w:ascii="Times New Roman" w:hAnsi="Times New Roman" w:cs="Times New Roman"/>
          <w:color w:val="000000"/>
          <w:lang w:val="fr-FR"/>
        </w:rPr>
        <w:t>.</w:t>
      </w:r>
    </w:p>
    <w:p w:rsidR="00866266" w:rsidRPr="00B94E33" w:rsidRDefault="00C92A5D"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147</w:t>
      </w:r>
      <w:r w:rsidRPr="00B94E33">
        <w:rPr>
          <w:lang w:val="fr-FR"/>
        </w:rPr>
        <w:fldChar w:fldCharType="end"/>
      </w:r>
      <w:r w:rsidRPr="00B94E33">
        <w:rPr>
          <w:lang w:val="fr-FR"/>
        </w:rPr>
        <w:t>.  </w:t>
      </w:r>
      <w:r w:rsidR="00ED0798" w:rsidRPr="00B94E33">
        <w:rPr>
          <w:lang w:val="fr-FR"/>
        </w:rPr>
        <w:t>La Cour rappelle que, a</w:t>
      </w:r>
      <w:r w:rsidR="00866266" w:rsidRPr="00B94E33">
        <w:rPr>
          <w:lang w:val="fr-FR"/>
        </w:rPr>
        <w:t>yant constaté que l</w:t>
      </w:r>
      <w:r w:rsidR="00B94E33" w:rsidRPr="00B94E33">
        <w:rPr>
          <w:lang w:val="fr-FR"/>
        </w:rPr>
        <w:t>’</w:t>
      </w:r>
      <w:r w:rsidR="00866266" w:rsidRPr="00B94E33">
        <w:rPr>
          <w:lang w:val="fr-FR"/>
        </w:rPr>
        <w:t xml:space="preserve">application du droit pénal dans la présente affaire </w:t>
      </w:r>
      <w:r w:rsidR="007D5504" w:rsidRPr="00B94E33">
        <w:rPr>
          <w:lang w:val="fr-FR"/>
        </w:rPr>
        <w:t>n</w:t>
      </w:r>
      <w:r w:rsidR="00B94E33" w:rsidRPr="00B94E33">
        <w:rPr>
          <w:lang w:val="fr-FR"/>
        </w:rPr>
        <w:t>’</w:t>
      </w:r>
      <w:r w:rsidR="007D5504" w:rsidRPr="00B94E33">
        <w:rPr>
          <w:lang w:val="fr-FR"/>
        </w:rPr>
        <w:t xml:space="preserve">a </w:t>
      </w:r>
      <w:r w:rsidR="00866266" w:rsidRPr="00B94E33">
        <w:rPr>
          <w:lang w:val="fr-FR"/>
        </w:rPr>
        <w:t>pas eu l</w:t>
      </w:r>
      <w:r w:rsidR="00B94E33" w:rsidRPr="00B94E33">
        <w:rPr>
          <w:lang w:val="fr-FR"/>
        </w:rPr>
        <w:t>’</w:t>
      </w:r>
      <w:r w:rsidR="00866266" w:rsidRPr="00B94E33">
        <w:rPr>
          <w:lang w:val="fr-FR"/>
        </w:rPr>
        <w:t>effet dissuasif requis pour prévenir efficacement les atteintes illégales à l</w:t>
      </w:r>
      <w:r w:rsidR="00B94E33" w:rsidRPr="00B94E33">
        <w:rPr>
          <w:lang w:val="fr-FR"/>
        </w:rPr>
        <w:t>’</w:t>
      </w:r>
      <w:r w:rsidR="00866266" w:rsidRPr="00B94E33">
        <w:rPr>
          <w:lang w:val="fr-FR"/>
        </w:rPr>
        <w:t>intégrité personnelle de la requérante et de son fils commises par A.T.</w:t>
      </w:r>
      <w:r w:rsidR="007D5504" w:rsidRPr="00B94E33">
        <w:rPr>
          <w:lang w:val="fr-FR"/>
        </w:rPr>
        <w:t>,</w:t>
      </w:r>
      <w:r w:rsidR="00866266" w:rsidRPr="00B94E33">
        <w:rPr>
          <w:lang w:val="fr-FR"/>
        </w:rPr>
        <w:t xml:space="preserve"> </w:t>
      </w:r>
      <w:r w:rsidR="00ED0798" w:rsidRPr="00B94E33">
        <w:rPr>
          <w:lang w:val="fr-FR"/>
        </w:rPr>
        <w:t>elle a jugé que les</w:t>
      </w:r>
      <w:r w:rsidR="00866266" w:rsidRPr="00B94E33">
        <w:rPr>
          <w:lang w:val="fr-FR"/>
        </w:rPr>
        <w:t xml:space="preserve"> droits de </w:t>
      </w:r>
      <w:r w:rsidR="00ED0798" w:rsidRPr="00B94E33">
        <w:rPr>
          <w:lang w:val="fr-FR"/>
        </w:rPr>
        <w:t xml:space="preserve">la </w:t>
      </w:r>
      <w:r w:rsidR="00ED0798" w:rsidRPr="00B94E33">
        <w:rPr>
          <w:lang w:val="fr-FR"/>
        </w:rPr>
        <w:lastRenderedPageBreak/>
        <w:t>requérante</w:t>
      </w:r>
      <w:r w:rsidR="00866266" w:rsidRPr="00B94E33">
        <w:rPr>
          <w:lang w:val="fr-FR"/>
        </w:rPr>
        <w:t xml:space="preserve"> </w:t>
      </w:r>
      <w:r w:rsidR="00ED0798" w:rsidRPr="00B94E33">
        <w:rPr>
          <w:lang w:val="fr-FR"/>
        </w:rPr>
        <w:t>sous l</w:t>
      </w:r>
      <w:r w:rsidR="00B94E33" w:rsidRPr="00B94E33">
        <w:rPr>
          <w:lang w:val="fr-FR"/>
        </w:rPr>
        <w:t>’</w:t>
      </w:r>
      <w:r w:rsidR="00ED0798" w:rsidRPr="00B94E33">
        <w:rPr>
          <w:lang w:val="fr-FR"/>
        </w:rPr>
        <w:t>angle</w:t>
      </w:r>
      <w:r w:rsidR="00866266" w:rsidRPr="00B94E33">
        <w:rPr>
          <w:lang w:val="fr-FR"/>
        </w:rPr>
        <w:t xml:space="preserve"> des articles 2 et 3 de la Convention</w:t>
      </w:r>
      <w:r w:rsidR="00ED0798" w:rsidRPr="00B94E33">
        <w:rPr>
          <w:lang w:val="fr-FR"/>
        </w:rPr>
        <w:t xml:space="preserve"> avaient été violés</w:t>
      </w:r>
      <w:r w:rsidR="00866266" w:rsidRPr="00B94E33">
        <w:rPr>
          <w:lang w:val="fr-FR"/>
        </w:rPr>
        <w:t>.</w:t>
      </w:r>
    </w:p>
    <w:p w:rsidR="00866266" w:rsidRPr="00B94E33" w:rsidRDefault="00377CA6"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148</w:t>
      </w:r>
      <w:r w:rsidRPr="00B94E33">
        <w:rPr>
          <w:lang w:val="fr-FR"/>
        </w:rPr>
        <w:fldChar w:fldCharType="end"/>
      </w:r>
      <w:r w:rsidRPr="00B94E33">
        <w:rPr>
          <w:lang w:val="fr-FR"/>
        </w:rPr>
        <w:t>.  </w:t>
      </w:r>
      <w:r w:rsidR="00866266" w:rsidRPr="00B94E33">
        <w:rPr>
          <w:lang w:val="fr-FR"/>
        </w:rPr>
        <w:t xml:space="preserve">Compte tenu </w:t>
      </w:r>
      <w:r w:rsidR="00113BC5" w:rsidRPr="00B94E33">
        <w:rPr>
          <w:lang w:val="fr-FR"/>
        </w:rPr>
        <w:t>des conclusions auxquelle</w:t>
      </w:r>
      <w:r w:rsidR="00096FF8" w:rsidRPr="00B94E33">
        <w:rPr>
          <w:lang w:val="fr-FR"/>
        </w:rPr>
        <w:t>s</w:t>
      </w:r>
      <w:r w:rsidR="00113BC5" w:rsidRPr="00B94E33">
        <w:rPr>
          <w:lang w:val="fr-FR"/>
        </w:rPr>
        <w:t xml:space="preserve"> elle</w:t>
      </w:r>
      <w:r w:rsidR="00866266" w:rsidRPr="00B94E33">
        <w:rPr>
          <w:lang w:val="fr-FR"/>
        </w:rPr>
        <w:t xml:space="preserve"> est parvenue</w:t>
      </w:r>
      <w:r w:rsidR="00113BC5" w:rsidRPr="00B94E33">
        <w:rPr>
          <w:lang w:val="fr-FR"/>
        </w:rPr>
        <w:t xml:space="preserve"> ci-dessus</w:t>
      </w:r>
      <w:r w:rsidR="005E0E38" w:rsidRPr="00B94E33">
        <w:rPr>
          <w:lang w:val="fr-FR"/>
        </w:rPr>
        <w:t xml:space="preserve"> (paragraphe </w:t>
      </w:r>
      <w:r w:rsidR="005E0E38" w:rsidRPr="00B94E33">
        <w:rPr>
          <w:lang w:val="fr-FR"/>
        </w:rPr>
        <w:fldChar w:fldCharType="begin"/>
      </w:r>
      <w:r w:rsidR="005E0E38" w:rsidRPr="00B94E33">
        <w:rPr>
          <w:lang w:val="fr-FR"/>
        </w:rPr>
        <w:instrText xml:space="preserve"> REF para138 \h </w:instrText>
      </w:r>
      <w:r w:rsidR="005E0E38" w:rsidRPr="00B94E33">
        <w:rPr>
          <w:lang w:val="fr-FR"/>
        </w:rPr>
      </w:r>
      <w:r w:rsidR="005E0E38" w:rsidRPr="00B94E33">
        <w:rPr>
          <w:lang w:val="fr-FR"/>
        </w:rPr>
        <w:fldChar w:fldCharType="separate"/>
      </w:r>
      <w:r w:rsidR="00B94E33" w:rsidRPr="00B94E33">
        <w:rPr>
          <w:noProof/>
          <w:lang w:val="fr-FR"/>
        </w:rPr>
        <w:t>145</w:t>
      </w:r>
      <w:r w:rsidR="005E0E38" w:rsidRPr="00B94E33">
        <w:rPr>
          <w:lang w:val="fr-FR"/>
        </w:rPr>
        <w:fldChar w:fldCharType="end"/>
      </w:r>
      <w:r w:rsidR="005E0E38" w:rsidRPr="00B94E33">
        <w:rPr>
          <w:lang w:val="fr-FR"/>
        </w:rPr>
        <w:t>)</w:t>
      </w:r>
      <w:r w:rsidR="00866266" w:rsidRPr="00B94E33">
        <w:rPr>
          <w:lang w:val="fr-FR"/>
        </w:rPr>
        <w:t>, la Cour estime que les violences infligées à l</w:t>
      </w:r>
      <w:r w:rsidR="00B94E33" w:rsidRPr="00B94E33">
        <w:rPr>
          <w:lang w:val="fr-FR"/>
        </w:rPr>
        <w:t>’</w:t>
      </w:r>
      <w:r w:rsidR="00866266" w:rsidRPr="00B94E33">
        <w:rPr>
          <w:lang w:val="fr-FR"/>
        </w:rPr>
        <w:t>intéressée doivent être considérées comme fondées sur le sexe et qu</w:t>
      </w:r>
      <w:r w:rsidR="00B94E33" w:rsidRPr="00B94E33">
        <w:rPr>
          <w:lang w:val="fr-FR"/>
        </w:rPr>
        <w:t>’</w:t>
      </w:r>
      <w:r w:rsidR="00866266" w:rsidRPr="00B94E33">
        <w:rPr>
          <w:lang w:val="fr-FR"/>
        </w:rPr>
        <w:t>elles constituent par conséquent une forme de discrimination à l</w:t>
      </w:r>
      <w:r w:rsidR="00B94E33" w:rsidRPr="00B94E33">
        <w:rPr>
          <w:lang w:val="fr-FR"/>
        </w:rPr>
        <w:t>’</w:t>
      </w:r>
      <w:r w:rsidRPr="00B94E33">
        <w:rPr>
          <w:lang w:val="fr-FR"/>
        </w:rPr>
        <w:t>égard des femmes</w:t>
      </w:r>
      <w:r w:rsidR="00866266" w:rsidRPr="00B94E33">
        <w:rPr>
          <w:lang w:val="fr-FR"/>
        </w:rPr>
        <w:t>.</w:t>
      </w:r>
    </w:p>
    <w:bookmarkStart w:id="25" w:name="para142"/>
    <w:p w:rsidR="004F1679" w:rsidRPr="00B94E33" w:rsidRDefault="007C4928" w:rsidP="00B94E33">
      <w:pPr>
        <w:pStyle w:val="ECHRPara"/>
        <w:rPr>
          <w:lang w:val="fr-FR"/>
        </w:rPr>
      </w:pPr>
      <w:r w:rsidRPr="00B94E33">
        <w:fldChar w:fldCharType="begin"/>
      </w:r>
      <w:r w:rsidRPr="00B94E33">
        <w:rPr>
          <w:lang w:val="fr-FR"/>
        </w:rPr>
        <w:instrText xml:space="preserve"> SEQ level0 \*arabic </w:instrText>
      </w:r>
      <w:r w:rsidRPr="00B94E33">
        <w:fldChar w:fldCharType="separate"/>
      </w:r>
      <w:r w:rsidR="00B94E33" w:rsidRPr="00B94E33">
        <w:rPr>
          <w:noProof/>
          <w:lang w:val="fr-FR"/>
        </w:rPr>
        <w:t>149</w:t>
      </w:r>
      <w:r w:rsidRPr="00B94E33">
        <w:fldChar w:fldCharType="end"/>
      </w:r>
      <w:r w:rsidRPr="00B94E33">
        <w:rPr>
          <w:lang w:val="fr-FR"/>
        </w:rPr>
        <w:t>.</w:t>
      </w:r>
      <w:bookmarkEnd w:id="25"/>
      <w:r w:rsidRPr="00B94E33">
        <w:rPr>
          <w:lang w:val="fr-FR"/>
        </w:rPr>
        <w:t>  </w:t>
      </w:r>
      <w:r w:rsidR="004F1679" w:rsidRPr="00B94E33">
        <w:rPr>
          <w:lang w:val="fr-FR"/>
        </w:rPr>
        <w:t>Par conséquent, dans les circonstances de la présente affaire, la Cour conclut à la violation de l</w:t>
      </w:r>
      <w:r w:rsidR="00B94E33" w:rsidRPr="00B94E33">
        <w:rPr>
          <w:lang w:val="fr-FR"/>
        </w:rPr>
        <w:t>’</w:t>
      </w:r>
      <w:r w:rsidR="004F1679" w:rsidRPr="00B94E33">
        <w:rPr>
          <w:lang w:val="fr-FR"/>
        </w:rPr>
        <w:t>article 14 de la Convention combiné avec les articles 2 et 3 de la Convention.</w:t>
      </w:r>
    </w:p>
    <w:p w:rsidR="004C3963" w:rsidRPr="00B94E33" w:rsidRDefault="008E3112" w:rsidP="00B94E33">
      <w:pPr>
        <w:pStyle w:val="ECHRHeading1"/>
        <w:rPr>
          <w:lang w:val="fr-FR"/>
        </w:rPr>
      </w:pPr>
      <w:r w:rsidRPr="00B94E33">
        <w:rPr>
          <w:lang w:val="fr-FR"/>
        </w:rPr>
        <w:t>IV</w:t>
      </w:r>
      <w:r w:rsidR="004C3963" w:rsidRPr="00B94E33">
        <w:rPr>
          <w:lang w:val="fr-FR"/>
        </w:rPr>
        <w:t>.  SUR LA VIOLATION ALLÉGUÉE DE</w:t>
      </w:r>
      <w:r w:rsidR="00C92A5D" w:rsidRPr="00B94E33">
        <w:rPr>
          <w:lang w:val="fr-FR"/>
        </w:rPr>
        <w:t>S</w:t>
      </w:r>
      <w:r w:rsidR="004C3963" w:rsidRPr="00B94E33">
        <w:rPr>
          <w:lang w:val="fr-FR"/>
        </w:rPr>
        <w:t xml:space="preserve"> ARTICLE</w:t>
      </w:r>
      <w:r w:rsidR="00C92A5D" w:rsidRPr="00B94E33">
        <w:rPr>
          <w:lang w:val="fr-FR"/>
        </w:rPr>
        <w:t>S</w:t>
      </w:r>
      <w:r w:rsidR="004C3963" w:rsidRPr="00B94E33">
        <w:rPr>
          <w:lang w:val="fr-FR"/>
        </w:rPr>
        <w:t xml:space="preserve"> </w:t>
      </w:r>
      <w:r w:rsidR="00C92A5D" w:rsidRPr="00B94E33">
        <w:rPr>
          <w:lang w:val="fr-FR"/>
        </w:rPr>
        <w:t xml:space="preserve">8 ET </w:t>
      </w:r>
      <w:r w:rsidR="004C3963" w:rsidRPr="00B94E33">
        <w:rPr>
          <w:lang w:val="fr-FR"/>
        </w:rPr>
        <w:t>13 DE LA CONVENTION</w:t>
      </w:r>
    </w:p>
    <w:p w:rsidR="004C3963" w:rsidRPr="00B94E33" w:rsidRDefault="00D8117A"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150</w:t>
      </w:r>
      <w:r w:rsidRPr="00B94E33">
        <w:rPr>
          <w:lang w:val="fr-FR"/>
        </w:rPr>
        <w:fldChar w:fldCharType="end"/>
      </w:r>
      <w:r w:rsidRPr="00B94E33">
        <w:rPr>
          <w:lang w:val="fr-FR"/>
        </w:rPr>
        <w:t>.  </w:t>
      </w:r>
      <w:r w:rsidR="00C92A5D" w:rsidRPr="00B94E33">
        <w:rPr>
          <w:lang w:val="fr-FR"/>
        </w:rPr>
        <w:t>L</w:t>
      </w:r>
      <w:r w:rsidR="004C3963" w:rsidRPr="00B94E33">
        <w:rPr>
          <w:lang w:val="fr-FR"/>
        </w:rPr>
        <w:t xml:space="preserve">a requérante </w:t>
      </w:r>
      <w:r w:rsidR="00C92A5D" w:rsidRPr="00B94E33">
        <w:rPr>
          <w:lang w:val="fr-FR"/>
        </w:rPr>
        <w:t>invoque également, à l</w:t>
      </w:r>
      <w:r w:rsidR="00B94E33" w:rsidRPr="00B94E33">
        <w:rPr>
          <w:lang w:val="fr-FR"/>
        </w:rPr>
        <w:t>’</w:t>
      </w:r>
      <w:r w:rsidR="00C92A5D" w:rsidRPr="00B94E33">
        <w:rPr>
          <w:lang w:val="fr-FR"/>
        </w:rPr>
        <w:t>appui de ses allégations, les articles 8 et 13 de la Convention</w:t>
      </w:r>
      <w:r w:rsidR="004C3963" w:rsidRPr="00B94E33">
        <w:rPr>
          <w:lang w:val="fr-FR"/>
        </w:rPr>
        <w:t>.</w:t>
      </w:r>
    </w:p>
    <w:p w:rsidR="009A4363" w:rsidRPr="00B94E33" w:rsidRDefault="00C92A5D"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151</w:t>
      </w:r>
      <w:r w:rsidRPr="00B94E33">
        <w:rPr>
          <w:lang w:val="fr-FR"/>
        </w:rPr>
        <w:fldChar w:fldCharType="end"/>
      </w:r>
      <w:r w:rsidRPr="00B94E33">
        <w:rPr>
          <w:lang w:val="fr-FR"/>
        </w:rPr>
        <w:t>.  </w:t>
      </w:r>
      <w:r w:rsidR="004C3963" w:rsidRPr="00B94E33">
        <w:rPr>
          <w:lang w:val="fr-FR"/>
        </w:rPr>
        <w:t>Ayant déjà conclu à la violation des articles 2, 3 et 14 de la Convention (paragraphes</w:t>
      </w:r>
      <w:r w:rsidR="006770DE" w:rsidRPr="00B94E33">
        <w:rPr>
          <w:lang w:val="fr-FR"/>
        </w:rPr>
        <w:t xml:space="preserve"> </w:t>
      </w:r>
      <w:r w:rsidR="00BB28BC" w:rsidRPr="00B94E33">
        <w:rPr>
          <w:lang w:val="fr-FR"/>
        </w:rPr>
        <w:t xml:space="preserve">125, 132 </w:t>
      </w:r>
      <w:r w:rsidR="00D8117A" w:rsidRPr="00B94E33">
        <w:rPr>
          <w:lang w:val="fr-FR"/>
        </w:rPr>
        <w:t xml:space="preserve">et </w:t>
      </w:r>
      <w:r w:rsidR="000C2154" w:rsidRPr="00B94E33">
        <w:rPr>
          <w:lang w:val="fr-FR"/>
        </w:rPr>
        <w:t>14</w:t>
      </w:r>
      <w:r w:rsidR="00C80435" w:rsidRPr="00B94E33">
        <w:rPr>
          <w:lang w:val="fr-FR"/>
        </w:rPr>
        <w:t>9</w:t>
      </w:r>
      <w:r w:rsidR="008D05C3" w:rsidRPr="00B94E33">
        <w:rPr>
          <w:lang w:val="fr-FR"/>
        </w:rPr>
        <w:t xml:space="preserve"> </w:t>
      </w:r>
      <w:r w:rsidR="004C3963" w:rsidRPr="00B94E33">
        <w:rPr>
          <w:lang w:val="fr-FR"/>
        </w:rPr>
        <w:t xml:space="preserve">ci-dessus), la Cour juge </w:t>
      </w:r>
      <w:r w:rsidR="00D65AA2" w:rsidRPr="00B94E33">
        <w:rPr>
          <w:lang w:val="fr-FR"/>
        </w:rPr>
        <w:t>qu</w:t>
      </w:r>
      <w:r w:rsidR="00B94E33" w:rsidRPr="00B94E33">
        <w:rPr>
          <w:lang w:val="fr-FR"/>
        </w:rPr>
        <w:t>’</w:t>
      </w:r>
      <w:r w:rsidR="00D65AA2" w:rsidRPr="00B94E33">
        <w:rPr>
          <w:lang w:val="fr-FR"/>
        </w:rPr>
        <w:t>il n</w:t>
      </w:r>
      <w:r w:rsidR="00B94E33" w:rsidRPr="00B94E33">
        <w:rPr>
          <w:lang w:val="fr-FR"/>
        </w:rPr>
        <w:t>’</w:t>
      </w:r>
      <w:r w:rsidR="00D65AA2" w:rsidRPr="00B94E33">
        <w:rPr>
          <w:lang w:val="fr-FR"/>
        </w:rPr>
        <w:t xml:space="preserve">est </w:t>
      </w:r>
      <w:r w:rsidR="004C3963" w:rsidRPr="00B94E33">
        <w:rPr>
          <w:lang w:val="fr-FR"/>
        </w:rPr>
        <w:t>pas nécessaire d</w:t>
      </w:r>
      <w:r w:rsidR="00B94E33" w:rsidRPr="00B94E33">
        <w:rPr>
          <w:lang w:val="fr-FR"/>
        </w:rPr>
        <w:t>’</w:t>
      </w:r>
      <w:r w:rsidR="004C3963" w:rsidRPr="00B94E33">
        <w:rPr>
          <w:lang w:val="fr-FR"/>
        </w:rPr>
        <w:t>examiner les mêmes faits sur le terr</w:t>
      </w:r>
      <w:r w:rsidR="000F6426" w:rsidRPr="00B94E33">
        <w:rPr>
          <w:lang w:val="fr-FR"/>
        </w:rPr>
        <w:t xml:space="preserve">ain de </w:t>
      </w:r>
      <w:r w:rsidRPr="00B94E33">
        <w:rPr>
          <w:lang w:val="fr-FR"/>
        </w:rPr>
        <w:t>ces dispositions (</w:t>
      </w:r>
      <w:r w:rsidR="00EF16FD" w:rsidRPr="00B94E33">
        <w:rPr>
          <w:i/>
          <w:lang w:val="fr-FR"/>
        </w:rPr>
        <w:t>Opuz</w:t>
      </w:r>
      <w:r w:rsidR="00EF16FD" w:rsidRPr="00B94E33">
        <w:rPr>
          <w:lang w:val="fr-FR"/>
        </w:rPr>
        <w:t>,</w:t>
      </w:r>
      <w:r w:rsidR="00B619AF" w:rsidRPr="00B94E33">
        <w:rPr>
          <w:lang w:val="fr-FR"/>
        </w:rPr>
        <w:t xml:space="preserve"> </w:t>
      </w:r>
      <w:r w:rsidR="00C83A0D" w:rsidRPr="00B94E33">
        <w:rPr>
          <w:lang w:val="fr-FR"/>
        </w:rPr>
        <w:t xml:space="preserve">précité § </w:t>
      </w:r>
      <w:r w:rsidRPr="00B94E33">
        <w:rPr>
          <w:lang w:val="fr-FR"/>
        </w:rPr>
        <w:t>205</w:t>
      </w:r>
      <w:r w:rsidR="00C83A0D" w:rsidRPr="00B94E33">
        <w:rPr>
          <w:lang w:val="fr-FR"/>
        </w:rPr>
        <w:t>).</w:t>
      </w:r>
    </w:p>
    <w:p w:rsidR="00E77CB3" w:rsidRPr="00B94E33" w:rsidRDefault="007D71DD" w:rsidP="00B94E33">
      <w:pPr>
        <w:pStyle w:val="ECHRHeading1"/>
        <w:rPr>
          <w:lang w:val="fr-FR"/>
        </w:rPr>
      </w:pPr>
      <w:r w:rsidRPr="00B94E33">
        <w:rPr>
          <w:lang w:val="fr-FR"/>
        </w:rPr>
        <w:t>V</w:t>
      </w:r>
      <w:r w:rsidR="00E77CB3" w:rsidRPr="00B94E33">
        <w:rPr>
          <w:lang w:val="fr-FR"/>
        </w:rPr>
        <w:t>.  SUR L</w:t>
      </w:r>
      <w:r w:rsidR="00B94E33" w:rsidRPr="00B94E33">
        <w:rPr>
          <w:lang w:val="fr-FR"/>
        </w:rPr>
        <w:t>’</w:t>
      </w:r>
      <w:r w:rsidR="00E77CB3" w:rsidRPr="00B94E33">
        <w:rPr>
          <w:lang w:val="fr-FR"/>
        </w:rPr>
        <w:t>APPLICATION DE L</w:t>
      </w:r>
      <w:r w:rsidR="00B94E33" w:rsidRPr="00B94E33">
        <w:rPr>
          <w:lang w:val="fr-FR"/>
        </w:rPr>
        <w:t>’</w:t>
      </w:r>
      <w:r w:rsidR="00E77CB3" w:rsidRPr="00B94E33">
        <w:rPr>
          <w:lang w:val="fr-FR"/>
        </w:rPr>
        <w:t>ARTICLE 41 DE LA CONVENTION</w:t>
      </w:r>
    </w:p>
    <w:p w:rsidR="00E77CB3" w:rsidRPr="00B94E33" w:rsidRDefault="00DA02C2"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152</w:t>
      </w:r>
      <w:r w:rsidRPr="00B94E33">
        <w:rPr>
          <w:lang w:val="fr-FR"/>
        </w:rPr>
        <w:fldChar w:fldCharType="end"/>
      </w:r>
      <w:r w:rsidR="00E77CB3" w:rsidRPr="00B94E33">
        <w:rPr>
          <w:lang w:val="fr-FR"/>
        </w:rPr>
        <w:t>.  Aux termes de l</w:t>
      </w:r>
      <w:r w:rsidR="00B94E33" w:rsidRPr="00B94E33">
        <w:rPr>
          <w:lang w:val="fr-FR"/>
        </w:rPr>
        <w:t>’</w:t>
      </w:r>
      <w:r w:rsidR="00E77CB3" w:rsidRPr="00B94E33">
        <w:rPr>
          <w:lang w:val="fr-FR"/>
        </w:rPr>
        <w:t>article 41 de la Convention,</w:t>
      </w:r>
    </w:p>
    <w:p w:rsidR="00E77CB3" w:rsidRPr="00B94E33" w:rsidRDefault="00E77CB3" w:rsidP="00B94E33">
      <w:pPr>
        <w:pStyle w:val="ECHRParaQuote"/>
        <w:keepNext/>
        <w:keepLines/>
        <w:rPr>
          <w:lang w:val="fr-FR"/>
        </w:rPr>
      </w:pPr>
      <w:r w:rsidRPr="00B94E33">
        <w:rPr>
          <w:lang w:val="fr-FR"/>
        </w:rPr>
        <w:t>« Si la Cour déclare qu</w:t>
      </w:r>
      <w:r w:rsidR="00B94E33" w:rsidRPr="00B94E33">
        <w:rPr>
          <w:lang w:val="fr-FR"/>
        </w:rPr>
        <w:t>’</w:t>
      </w:r>
      <w:r w:rsidRPr="00B94E33">
        <w:rPr>
          <w:lang w:val="fr-FR"/>
        </w:rPr>
        <w:t>il y a eu violation de la Convention ou de ses Protocoles, et si le droit interne de la Haute Partie contractante ne permet d</w:t>
      </w:r>
      <w:r w:rsidR="00B94E33" w:rsidRPr="00B94E33">
        <w:rPr>
          <w:lang w:val="fr-FR"/>
        </w:rPr>
        <w:t>’</w:t>
      </w:r>
      <w:r w:rsidRPr="00B94E33">
        <w:rPr>
          <w:lang w:val="fr-FR"/>
        </w:rPr>
        <w:t>effacer qu</w:t>
      </w:r>
      <w:r w:rsidR="00B94E33" w:rsidRPr="00B94E33">
        <w:rPr>
          <w:lang w:val="fr-FR"/>
        </w:rPr>
        <w:t>’</w:t>
      </w:r>
      <w:r w:rsidRPr="00B94E33">
        <w:rPr>
          <w:lang w:val="fr-FR"/>
        </w:rPr>
        <w:t>imparfaitement les conséquences de cette violation, la Cour accorde à la partie lésée, s</w:t>
      </w:r>
      <w:r w:rsidR="00B94E33" w:rsidRPr="00B94E33">
        <w:rPr>
          <w:lang w:val="fr-FR"/>
        </w:rPr>
        <w:t>’</w:t>
      </w:r>
      <w:r w:rsidRPr="00B94E33">
        <w:rPr>
          <w:lang w:val="fr-FR"/>
        </w:rPr>
        <w:t>il y a lieu, une satisfaction équitable. »</w:t>
      </w:r>
    </w:p>
    <w:p w:rsidR="00E77CB3" w:rsidRPr="00B94E33" w:rsidRDefault="00E77CB3" w:rsidP="00B94E33">
      <w:pPr>
        <w:pStyle w:val="ECHRHeading2"/>
        <w:rPr>
          <w:lang w:val="fr-FR"/>
        </w:rPr>
      </w:pPr>
      <w:r w:rsidRPr="00B94E33">
        <w:rPr>
          <w:lang w:val="fr-FR"/>
        </w:rPr>
        <w:t>A.  Dommage</w:t>
      </w:r>
    </w:p>
    <w:p w:rsidR="00E77CB3" w:rsidRPr="00B94E33" w:rsidRDefault="00DA02C2"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153</w:t>
      </w:r>
      <w:r w:rsidRPr="00B94E33">
        <w:rPr>
          <w:lang w:val="fr-FR"/>
        </w:rPr>
        <w:fldChar w:fldCharType="end"/>
      </w:r>
      <w:r w:rsidR="00E77CB3" w:rsidRPr="00B94E33">
        <w:rPr>
          <w:lang w:val="fr-FR"/>
        </w:rPr>
        <w:t>.  </w:t>
      </w:r>
      <w:r w:rsidR="00C83A0D" w:rsidRPr="00B94E33">
        <w:rPr>
          <w:lang w:val="fr-FR"/>
        </w:rPr>
        <w:t xml:space="preserve">La requérante se réfère à la décision du </w:t>
      </w:r>
      <w:r w:rsidR="00750E3D" w:rsidRPr="00B94E33">
        <w:rPr>
          <w:lang w:val="fr-FR"/>
        </w:rPr>
        <w:t>GUP</w:t>
      </w:r>
      <w:r w:rsidR="00C83A0D" w:rsidRPr="00B94E33">
        <w:rPr>
          <w:lang w:val="fr-FR"/>
        </w:rPr>
        <w:t xml:space="preserve"> de Udine et </w:t>
      </w:r>
      <w:r w:rsidR="00F636E8" w:rsidRPr="00B94E33">
        <w:rPr>
          <w:lang w:val="fr-FR"/>
        </w:rPr>
        <w:t>réclame</w:t>
      </w:r>
      <w:r w:rsidR="00C83A0D" w:rsidRPr="00B94E33">
        <w:rPr>
          <w:lang w:val="fr-FR"/>
        </w:rPr>
        <w:t xml:space="preserve"> 300 000 </w:t>
      </w:r>
      <w:r w:rsidR="00B619AF" w:rsidRPr="00B94E33">
        <w:rPr>
          <w:lang w:val="fr-FR"/>
        </w:rPr>
        <w:t xml:space="preserve">EUR </w:t>
      </w:r>
      <w:r w:rsidR="00E77CB3" w:rsidRPr="00B94E33">
        <w:rPr>
          <w:lang w:val="fr-FR"/>
        </w:rPr>
        <w:t xml:space="preserve">au titre du préjudice matériel </w:t>
      </w:r>
      <w:r w:rsidR="00C83A0D" w:rsidRPr="00B94E33">
        <w:rPr>
          <w:lang w:val="fr-FR"/>
        </w:rPr>
        <w:t>qu</w:t>
      </w:r>
      <w:r w:rsidR="00B94E33" w:rsidRPr="00B94E33">
        <w:rPr>
          <w:lang w:val="fr-FR"/>
        </w:rPr>
        <w:t>’</w:t>
      </w:r>
      <w:r w:rsidRPr="00B94E33">
        <w:rPr>
          <w:lang w:val="fr-FR"/>
        </w:rPr>
        <w:t>elle</w:t>
      </w:r>
      <w:r w:rsidR="00E77CB3" w:rsidRPr="00B94E33">
        <w:rPr>
          <w:lang w:val="fr-FR"/>
        </w:rPr>
        <w:t xml:space="preserve"> aurait subi</w:t>
      </w:r>
      <w:r w:rsidR="00B619AF" w:rsidRPr="00B94E33">
        <w:rPr>
          <w:lang w:val="fr-FR"/>
        </w:rPr>
        <w:t xml:space="preserve"> en raison de la mort de son fils</w:t>
      </w:r>
      <w:r w:rsidR="00E77CB3" w:rsidRPr="00B94E33">
        <w:rPr>
          <w:lang w:val="fr-FR"/>
        </w:rPr>
        <w:t>.</w:t>
      </w:r>
      <w:r w:rsidR="00C83A0D" w:rsidRPr="00B94E33">
        <w:rPr>
          <w:lang w:val="fr-FR"/>
        </w:rPr>
        <w:t xml:space="preserve"> Elle dema</w:t>
      </w:r>
      <w:r w:rsidR="00F636E8" w:rsidRPr="00B94E33">
        <w:rPr>
          <w:lang w:val="fr-FR"/>
        </w:rPr>
        <w:t xml:space="preserve">nde également 30 000 EUR </w:t>
      </w:r>
      <w:r w:rsidR="00B619AF" w:rsidRPr="00B94E33">
        <w:rPr>
          <w:lang w:val="fr-FR"/>
        </w:rPr>
        <w:t>pour</w:t>
      </w:r>
      <w:r w:rsidR="00F636E8" w:rsidRPr="00B94E33">
        <w:rPr>
          <w:lang w:val="fr-FR"/>
        </w:rPr>
        <w:t xml:space="preserve"> </w:t>
      </w:r>
      <w:r w:rsidR="00C83A0D" w:rsidRPr="00B94E33">
        <w:rPr>
          <w:lang w:val="fr-FR"/>
        </w:rPr>
        <w:t xml:space="preserve">dommage </w:t>
      </w:r>
      <w:r w:rsidR="00F636E8" w:rsidRPr="00B94E33">
        <w:rPr>
          <w:lang w:val="fr-FR"/>
        </w:rPr>
        <w:t xml:space="preserve">moral </w:t>
      </w:r>
      <w:r w:rsidR="00B619AF" w:rsidRPr="00B94E33">
        <w:rPr>
          <w:lang w:val="fr-FR"/>
        </w:rPr>
        <w:t xml:space="preserve">à la suite de </w:t>
      </w:r>
      <w:r w:rsidR="00F636E8" w:rsidRPr="00B94E33">
        <w:rPr>
          <w:lang w:val="fr-FR"/>
        </w:rPr>
        <w:t>la mort d</w:t>
      </w:r>
      <w:r w:rsidR="00C83A0D" w:rsidRPr="00B94E33">
        <w:rPr>
          <w:lang w:val="fr-FR"/>
        </w:rPr>
        <w:t>e</w:t>
      </w:r>
      <w:r w:rsidR="00F636E8" w:rsidRPr="00B94E33">
        <w:rPr>
          <w:lang w:val="fr-FR"/>
        </w:rPr>
        <w:t xml:space="preserve"> </w:t>
      </w:r>
      <w:r w:rsidR="00C83A0D" w:rsidRPr="00B94E33">
        <w:rPr>
          <w:lang w:val="fr-FR"/>
        </w:rPr>
        <w:t xml:space="preserve">son fils et 80 000 </w:t>
      </w:r>
      <w:r w:rsidR="00F636E8" w:rsidRPr="00B94E33">
        <w:rPr>
          <w:lang w:val="fr-FR"/>
        </w:rPr>
        <w:t xml:space="preserve">EUR </w:t>
      </w:r>
      <w:r w:rsidR="00B619AF" w:rsidRPr="00B94E33">
        <w:rPr>
          <w:lang w:val="fr-FR"/>
        </w:rPr>
        <w:t xml:space="preserve">pour dommage moral en raison de </w:t>
      </w:r>
      <w:r w:rsidR="00C83A0D" w:rsidRPr="00B94E33">
        <w:rPr>
          <w:lang w:val="fr-FR"/>
        </w:rPr>
        <w:t>la tentative d</w:t>
      </w:r>
      <w:r w:rsidR="00F636E8" w:rsidRPr="00B94E33">
        <w:rPr>
          <w:lang w:val="fr-FR"/>
        </w:rPr>
        <w:t xml:space="preserve">e meurtre </w:t>
      </w:r>
      <w:r w:rsidR="00A05E78" w:rsidRPr="00B94E33">
        <w:rPr>
          <w:lang w:val="fr-FR"/>
        </w:rPr>
        <w:t>dont elle a été l</w:t>
      </w:r>
      <w:r w:rsidR="00B94E33" w:rsidRPr="00B94E33">
        <w:rPr>
          <w:lang w:val="fr-FR"/>
        </w:rPr>
        <w:t>’</w:t>
      </w:r>
      <w:r w:rsidR="00A05E78" w:rsidRPr="00B94E33">
        <w:rPr>
          <w:lang w:val="fr-FR"/>
        </w:rPr>
        <w:t>objet</w:t>
      </w:r>
      <w:r w:rsidR="00AD268D" w:rsidRPr="00B94E33">
        <w:rPr>
          <w:lang w:val="fr-FR"/>
        </w:rPr>
        <w:t xml:space="preserve">. Elle considère </w:t>
      </w:r>
      <w:r w:rsidR="00A05E78" w:rsidRPr="00B94E33">
        <w:rPr>
          <w:lang w:val="fr-FR"/>
        </w:rPr>
        <w:t xml:space="preserve">enfin </w:t>
      </w:r>
      <w:r w:rsidR="00AD268D" w:rsidRPr="00B94E33">
        <w:rPr>
          <w:lang w:val="fr-FR"/>
        </w:rPr>
        <w:t>que le dommage</w:t>
      </w:r>
      <w:r w:rsidR="00C83A0D" w:rsidRPr="00B94E33">
        <w:rPr>
          <w:lang w:val="fr-FR"/>
        </w:rPr>
        <w:t xml:space="preserve"> moral </w:t>
      </w:r>
      <w:r w:rsidR="00F636E8" w:rsidRPr="00B94E33">
        <w:rPr>
          <w:lang w:val="fr-FR"/>
        </w:rPr>
        <w:t>découlant</w:t>
      </w:r>
      <w:r w:rsidR="00C83A0D" w:rsidRPr="00B94E33">
        <w:rPr>
          <w:lang w:val="fr-FR"/>
        </w:rPr>
        <w:t xml:space="preserve"> de</w:t>
      </w:r>
      <w:r w:rsidR="00C73681" w:rsidRPr="00B94E33">
        <w:rPr>
          <w:lang w:val="fr-FR"/>
        </w:rPr>
        <w:t>s</w:t>
      </w:r>
      <w:r w:rsidR="00C83A0D" w:rsidRPr="00B94E33">
        <w:rPr>
          <w:lang w:val="fr-FR"/>
        </w:rPr>
        <w:t xml:space="preserve"> violence</w:t>
      </w:r>
      <w:r w:rsidR="00C73681" w:rsidRPr="00B94E33">
        <w:rPr>
          <w:lang w:val="fr-FR"/>
        </w:rPr>
        <w:t>s</w:t>
      </w:r>
      <w:r w:rsidR="00C83A0D" w:rsidRPr="00B94E33">
        <w:rPr>
          <w:lang w:val="fr-FR"/>
        </w:rPr>
        <w:t xml:space="preserve"> domestique</w:t>
      </w:r>
      <w:r w:rsidR="00C73681" w:rsidRPr="00B94E33">
        <w:rPr>
          <w:lang w:val="fr-FR"/>
        </w:rPr>
        <w:t>s</w:t>
      </w:r>
      <w:r w:rsidR="00F636E8" w:rsidRPr="00B94E33">
        <w:rPr>
          <w:lang w:val="fr-FR"/>
        </w:rPr>
        <w:t xml:space="preserve"> qu</w:t>
      </w:r>
      <w:r w:rsidR="00B94E33" w:rsidRPr="00B94E33">
        <w:rPr>
          <w:lang w:val="fr-FR"/>
        </w:rPr>
        <w:t>’</w:t>
      </w:r>
      <w:r w:rsidR="00F636E8" w:rsidRPr="00B94E33">
        <w:rPr>
          <w:lang w:val="fr-FR"/>
        </w:rPr>
        <w:t>elle a</w:t>
      </w:r>
      <w:r w:rsidR="00B619AF" w:rsidRPr="00B94E33">
        <w:rPr>
          <w:lang w:val="fr-FR"/>
        </w:rPr>
        <w:t>urait</w:t>
      </w:r>
      <w:r w:rsidR="00F636E8" w:rsidRPr="00B94E33">
        <w:rPr>
          <w:lang w:val="fr-FR"/>
        </w:rPr>
        <w:t xml:space="preserve"> subi</w:t>
      </w:r>
      <w:r w:rsidR="00B619AF" w:rsidRPr="00B94E33">
        <w:rPr>
          <w:lang w:val="fr-FR"/>
        </w:rPr>
        <w:t>e</w:t>
      </w:r>
      <w:r w:rsidR="00C73681" w:rsidRPr="00B94E33">
        <w:rPr>
          <w:lang w:val="fr-FR"/>
        </w:rPr>
        <w:t>s</w:t>
      </w:r>
      <w:r w:rsidR="00F636E8" w:rsidRPr="00B94E33">
        <w:rPr>
          <w:lang w:val="fr-FR"/>
        </w:rPr>
        <w:t xml:space="preserve"> </w:t>
      </w:r>
      <w:r w:rsidR="00B619AF" w:rsidRPr="00B94E33">
        <w:rPr>
          <w:lang w:val="fr-FR"/>
        </w:rPr>
        <w:t xml:space="preserve">pendant </w:t>
      </w:r>
      <w:r w:rsidR="00F636E8" w:rsidRPr="00B94E33">
        <w:rPr>
          <w:lang w:val="fr-FR"/>
        </w:rPr>
        <w:t>une longue</w:t>
      </w:r>
      <w:r w:rsidR="00C83A0D" w:rsidRPr="00B94E33">
        <w:rPr>
          <w:lang w:val="fr-FR"/>
        </w:rPr>
        <w:t xml:space="preserve"> période </w:t>
      </w:r>
      <w:r w:rsidR="00AC04CE" w:rsidRPr="00B94E33">
        <w:rPr>
          <w:lang w:val="fr-FR"/>
        </w:rPr>
        <w:t>s</w:t>
      </w:r>
      <w:r w:rsidR="00B94E33" w:rsidRPr="00B94E33">
        <w:rPr>
          <w:lang w:val="fr-FR"/>
        </w:rPr>
        <w:t>’</w:t>
      </w:r>
      <w:r w:rsidR="00AC04CE" w:rsidRPr="00B94E33">
        <w:rPr>
          <w:lang w:val="fr-FR"/>
        </w:rPr>
        <w:t>élève</w:t>
      </w:r>
      <w:r w:rsidR="00B619AF" w:rsidRPr="00B94E33">
        <w:rPr>
          <w:lang w:val="fr-FR"/>
        </w:rPr>
        <w:t xml:space="preserve"> à</w:t>
      </w:r>
      <w:r w:rsidR="00C83A0D" w:rsidRPr="00B94E33">
        <w:rPr>
          <w:lang w:val="fr-FR"/>
        </w:rPr>
        <w:t xml:space="preserve"> 20 000 EUR.</w:t>
      </w:r>
    </w:p>
    <w:p w:rsidR="00E77CB3" w:rsidRPr="00B94E33" w:rsidRDefault="00DA02C2" w:rsidP="00B94E33">
      <w:pPr>
        <w:pStyle w:val="ECHRPara"/>
        <w:rPr>
          <w:i/>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154</w:t>
      </w:r>
      <w:r w:rsidRPr="00B94E33">
        <w:rPr>
          <w:lang w:val="fr-FR"/>
        </w:rPr>
        <w:fldChar w:fldCharType="end"/>
      </w:r>
      <w:r w:rsidR="00E77CB3" w:rsidRPr="00B94E33">
        <w:rPr>
          <w:lang w:val="fr-FR"/>
        </w:rPr>
        <w:t xml:space="preserve">.  Le Gouvernement </w:t>
      </w:r>
      <w:r w:rsidR="000E2D59" w:rsidRPr="00B94E33">
        <w:rPr>
          <w:lang w:val="fr-FR"/>
        </w:rPr>
        <w:t xml:space="preserve">conteste les prétentions de la requérante. Il </w:t>
      </w:r>
      <w:r w:rsidR="00E7168F" w:rsidRPr="00B94E33">
        <w:rPr>
          <w:lang w:val="fr-FR"/>
        </w:rPr>
        <w:t xml:space="preserve">déclare </w:t>
      </w:r>
      <w:r w:rsidR="000E2D59" w:rsidRPr="00B94E33">
        <w:rPr>
          <w:lang w:val="fr-FR"/>
        </w:rPr>
        <w:t>que</w:t>
      </w:r>
      <w:r w:rsidR="00E7168F" w:rsidRPr="00B94E33">
        <w:rPr>
          <w:lang w:val="fr-FR"/>
        </w:rPr>
        <w:t xml:space="preserve">, </w:t>
      </w:r>
      <w:r w:rsidR="000E2D59" w:rsidRPr="00B94E33">
        <w:rPr>
          <w:lang w:val="fr-FR"/>
        </w:rPr>
        <w:t xml:space="preserve">dans </w:t>
      </w:r>
      <w:r w:rsidR="00E7168F" w:rsidRPr="00B94E33">
        <w:rPr>
          <w:lang w:val="fr-FR"/>
        </w:rPr>
        <w:t>d</w:t>
      </w:r>
      <w:r w:rsidR="000E2D59" w:rsidRPr="00B94E33">
        <w:rPr>
          <w:lang w:val="fr-FR"/>
        </w:rPr>
        <w:t xml:space="preserve">es affaires similaires </w:t>
      </w:r>
      <w:r w:rsidR="00F636E8" w:rsidRPr="00B94E33">
        <w:rPr>
          <w:lang w:val="fr-FR"/>
        </w:rPr>
        <w:t xml:space="preserve">examinées par la Cour </w:t>
      </w:r>
      <w:r w:rsidR="000E2D59" w:rsidRPr="00B94E33">
        <w:rPr>
          <w:lang w:val="fr-FR"/>
        </w:rPr>
        <w:t>(</w:t>
      </w:r>
      <w:r w:rsidR="004034FD" w:rsidRPr="00B94E33">
        <w:rPr>
          <w:i/>
          <w:lang w:val="fr-FR"/>
        </w:rPr>
        <w:t>Kontrová</w:t>
      </w:r>
      <w:r w:rsidR="004034FD" w:rsidRPr="00B94E33">
        <w:rPr>
          <w:lang w:val="fr-FR"/>
        </w:rPr>
        <w:t xml:space="preserve">, </w:t>
      </w:r>
      <w:r w:rsidR="00E7168F" w:rsidRPr="00B94E33">
        <w:rPr>
          <w:lang w:val="fr-FR"/>
        </w:rPr>
        <w:t>précité,</w:t>
      </w:r>
      <w:r w:rsidR="000E2D59" w:rsidRPr="00B94E33">
        <w:rPr>
          <w:lang w:val="fr-FR"/>
        </w:rPr>
        <w:t xml:space="preserve"> </w:t>
      </w:r>
      <w:r w:rsidR="004034FD" w:rsidRPr="00B94E33">
        <w:rPr>
          <w:i/>
          <w:lang w:val="fr-FR"/>
        </w:rPr>
        <w:t>Branko Tomašić et autres c. Croatie</w:t>
      </w:r>
      <w:r w:rsidR="004034FD" w:rsidRPr="00B94E33">
        <w:rPr>
          <w:lang w:val="fr-FR"/>
        </w:rPr>
        <w:t>, n</w:t>
      </w:r>
      <w:r w:rsidR="004034FD" w:rsidRPr="00B94E33">
        <w:rPr>
          <w:vertAlign w:val="superscript"/>
          <w:lang w:val="fr-FR"/>
        </w:rPr>
        <w:t>o</w:t>
      </w:r>
      <w:r w:rsidR="004034FD" w:rsidRPr="00B94E33">
        <w:rPr>
          <w:lang w:val="fr-FR"/>
        </w:rPr>
        <w:t xml:space="preserve"> 46598/06, 15</w:t>
      </w:r>
      <w:r w:rsidR="00E7168F" w:rsidRPr="00B94E33">
        <w:rPr>
          <w:lang w:val="fr-FR"/>
        </w:rPr>
        <w:t> </w:t>
      </w:r>
      <w:r w:rsidR="004034FD" w:rsidRPr="00B94E33">
        <w:rPr>
          <w:lang w:val="fr-FR"/>
        </w:rPr>
        <w:t xml:space="preserve">janvier 2009, </w:t>
      </w:r>
      <w:r w:rsidR="00E7168F" w:rsidRPr="00B94E33">
        <w:rPr>
          <w:lang w:val="fr-FR"/>
        </w:rPr>
        <w:t xml:space="preserve">et </w:t>
      </w:r>
      <w:r w:rsidR="004034FD" w:rsidRPr="00B94E33">
        <w:rPr>
          <w:i/>
          <w:lang w:val="fr-FR"/>
        </w:rPr>
        <w:t>Civek c. Turquie</w:t>
      </w:r>
      <w:r w:rsidR="004034FD" w:rsidRPr="00B94E33">
        <w:rPr>
          <w:lang w:val="fr-FR"/>
        </w:rPr>
        <w:t>, n</w:t>
      </w:r>
      <w:r w:rsidR="004034FD" w:rsidRPr="00B94E33">
        <w:rPr>
          <w:vertAlign w:val="superscript"/>
          <w:lang w:val="fr-FR"/>
        </w:rPr>
        <w:t>o</w:t>
      </w:r>
      <w:r w:rsidR="004034FD" w:rsidRPr="00B94E33">
        <w:rPr>
          <w:lang w:val="fr-FR"/>
        </w:rPr>
        <w:t xml:space="preserve"> 55354/11</w:t>
      </w:r>
      <w:r w:rsidR="004034FD" w:rsidRPr="00B94E33">
        <w:rPr>
          <w:snapToGrid w:val="0"/>
          <w:lang w:val="fr-FR"/>
        </w:rPr>
        <w:t>, 23</w:t>
      </w:r>
      <w:r w:rsidR="00E7168F" w:rsidRPr="00B94E33">
        <w:rPr>
          <w:snapToGrid w:val="0"/>
          <w:lang w:val="fr-FR"/>
        </w:rPr>
        <w:t> </w:t>
      </w:r>
      <w:r w:rsidR="004034FD" w:rsidRPr="00B94E33">
        <w:rPr>
          <w:lang w:val="fr-FR"/>
        </w:rPr>
        <w:t>février</w:t>
      </w:r>
      <w:r w:rsidR="00E7168F" w:rsidRPr="00B94E33">
        <w:rPr>
          <w:snapToGrid w:val="0"/>
          <w:lang w:val="fr-FR"/>
        </w:rPr>
        <w:t> </w:t>
      </w:r>
      <w:r w:rsidR="004034FD" w:rsidRPr="00B94E33">
        <w:rPr>
          <w:snapToGrid w:val="0"/>
          <w:lang w:val="fr-FR"/>
        </w:rPr>
        <w:t>2016</w:t>
      </w:r>
      <w:r w:rsidR="00F636E8" w:rsidRPr="00B94E33">
        <w:rPr>
          <w:lang w:val="fr-FR"/>
        </w:rPr>
        <w:t>)</w:t>
      </w:r>
      <w:r w:rsidR="00E7168F" w:rsidRPr="00B94E33">
        <w:rPr>
          <w:lang w:val="fr-FR"/>
        </w:rPr>
        <w:t>,</w:t>
      </w:r>
      <w:r w:rsidR="000E2D59" w:rsidRPr="00B94E33">
        <w:rPr>
          <w:lang w:val="fr-FR"/>
        </w:rPr>
        <w:t xml:space="preserve"> la Cour a </w:t>
      </w:r>
      <w:r w:rsidR="00F636E8" w:rsidRPr="00B94E33">
        <w:rPr>
          <w:lang w:val="fr-FR"/>
        </w:rPr>
        <w:t>octroyé</w:t>
      </w:r>
      <w:r w:rsidR="000E2D59" w:rsidRPr="00B94E33">
        <w:rPr>
          <w:lang w:val="fr-FR"/>
        </w:rPr>
        <w:t xml:space="preserve"> des sommes moins </w:t>
      </w:r>
      <w:r w:rsidR="00F636E8" w:rsidRPr="00B94E33">
        <w:rPr>
          <w:lang w:val="fr-FR"/>
        </w:rPr>
        <w:t>élevées</w:t>
      </w:r>
      <w:r w:rsidR="000E2D59" w:rsidRPr="00B94E33">
        <w:rPr>
          <w:lang w:val="fr-FR"/>
        </w:rPr>
        <w:t xml:space="preserve"> que celles demandées </w:t>
      </w:r>
      <w:r w:rsidR="006375B4" w:rsidRPr="00B94E33">
        <w:rPr>
          <w:lang w:val="fr-FR"/>
        </w:rPr>
        <w:t>par</w:t>
      </w:r>
      <w:r w:rsidR="000E2D59" w:rsidRPr="00B94E33">
        <w:rPr>
          <w:lang w:val="fr-FR"/>
        </w:rPr>
        <w:t xml:space="preserve"> la requérante. </w:t>
      </w:r>
      <w:r w:rsidR="00E7168F" w:rsidRPr="00B94E33">
        <w:rPr>
          <w:lang w:val="fr-FR"/>
        </w:rPr>
        <w:t>Il considère que, p</w:t>
      </w:r>
      <w:r w:rsidR="000E2D59" w:rsidRPr="00B94E33">
        <w:rPr>
          <w:lang w:val="fr-FR"/>
        </w:rPr>
        <w:t>ar conséquent</w:t>
      </w:r>
      <w:r w:rsidR="00E7168F" w:rsidRPr="00B94E33">
        <w:rPr>
          <w:lang w:val="fr-FR"/>
        </w:rPr>
        <w:t>,</w:t>
      </w:r>
      <w:r w:rsidR="000E2D59" w:rsidRPr="00B94E33">
        <w:rPr>
          <w:lang w:val="fr-FR"/>
        </w:rPr>
        <w:t xml:space="preserve"> les sommes </w:t>
      </w:r>
      <w:r w:rsidR="00E7168F" w:rsidRPr="00B94E33">
        <w:rPr>
          <w:lang w:val="fr-FR"/>
        </w:rPr>
        <w:t xml:space="preserve">réclamées </w:t>
      </w:r>
      <w:r w:rsidR="000E2D59" w:rsidRPr="00B94E33">
        <w:rPr>
          <w:lang w:val="fr-FR"/>
        </w:rPr>
        <w:t>sont excessives</w:t>
      </w:r>
      <w:r w:rsidR="00E7168F" w:rsidRPr="00B94E33">
        <w:rPr>
          <w:lang w:val="fr-FR"/>
        </w:rPr>
        <w:t>.</w:t>
      </w:r>
    </w:p>
    <w:p w:rsidR="00E77CB3" w:rsidRPr="00B94E33" w:rsidRDefault="00DA02C2" w:rsidP="00B94E33">
      <w:pPr>
        <w:pStyle w:val="ECHRPara"/>
        <w:rPr>
          <w:lang w:val="fr-FR"/>
        </w:rPr>
      </w:pPr>
      <w:r w:rsidRPr="00B94E33">
        <w:rPr>
          <w:lang w:val="fr-FR"/>
        </w:rPr>
        <w:lastRenderedPageBreak/>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155</w:t>
      </w:r>
      <w:r w:rsidRPr="00B94E33">
        <w:rPr>
          <w:lang w:val="fr-FR"/>
        </w:rPr>
        <w:fldChar w:fldCharType="end"/>
      </w:r>
      <w:r w:rsidR="00E77CB3" w:rsidRPr="00B94E33">
        <w:rPr>
          <w:lang w:val="fr-FR"/>
        </w:rPr>
        <w:t>.  La Cour n</w:t>
      </w:r>
      <w:r w:rsidR="00B94E33" w:rsidRPr="00B94E33">
        <w:rPr>
          <w:lang w:val="fr-FR"/>
        </w:rPr>
        <w:t>’</w:t>
      </w:r>
      <w:r w:rsidR="00E77CB3" w:rsidRPr="00B94E33">
        <w:rPr>
          <w:lang w:val="fr-FR"/>
        </w:rPr>
        <w:t xml:space="preserve">aperçoit pas de lien de causalité entre la violation constatée et le dommage matériel allégué et rejette </w:t>
      </w:r>
      <w:r w:rsidR="00F636E8" w:rsidRPr="00B94E33">
        <w:rPr>
          <w:lang w:val="fr-FR"/>
        </w:rPr>
        <w:t>cette demande. En revanche, elle</w:t>
      </w:r>
      <w:r w:rsidR="00E77CB3" w:rsidRPr="00B94E33">
        <w:rPr>
          <w:lang w:val="fr-FR"/>
        </w:rPr>
        <w:t xml:space="preserve"> considère qu</w:t>
      </w:r>
      <w:r w:rsidR="00B94E33" w:rsidRPr="00B94E33">
        <w:rPr>
          <w:lang w:val="fr-FR"/>
        </w:rPr>
        <w:t>’</w:t>
      </w:r>
      <w:r w:rsidR="00E77CB3" w:rsidRPr="00B94E33">
        <w:rPr>
          <w:lang w:val="fr-FR"/>
        </w:rPr>
        <w:t>il y a lieu d</w:t>
      </w:r>
      <w:r w:rsidR="00B94E33" w:rsidRPr="00B94E33">
        <w:rPr>
          <w:lang w:val="fr-FR"/>
        </w:rPr>
        <w:t>’</w:t>
      </w:r>
      <w:r w:rsidR="00E77CB3" w:rsidRPr="00B94E33">
        <w:rPr>
          <w:lang w:val="fr-FR"/>
        </w:rPr>
        <w:t xml:space="preserve">octroyer </w:t>
      </w:r>
      <w:r w:rsidRPr="00B94E33">
        <w:rPr>
          <w:lang w:val="fr-FR"/>
        </w:rPr>
        <w:t>à la requérante</w:t>
      </w:r>
      <w:r w:rsidR="00E77CB3" w:rsidRPr="00B94E33">
        <w:rPr>
          <w:lang w:val="fr-FR"/>
        </w:rPr>
        <w:t xml:space="preserve"> </w:t>
      </w:r>
      <w:r w:rsidR="00C55D1F" w:rsidRPr="00B94E33">
        <w:rPr>
          <w:lang w:val="fr-FR"/>
        </w:rPr>
        <w:t>30 000 EUR</w:t>
      </w:r>
      <w:r w:rsidR="009A4363" w:rsidRPr="00B94E33">
        <w:rPr>
          <w:lang w:val="fr-FR"/>
        </w:rPr>
        <w:t xml:space="preserve"> </w:t>
      </w:r>
      <w:r w:rsidR="00E77CB3" w:rsidRPr="00B94E33">
        <w:rPr>
          <w:lang w:val="fr-FR"/>
        </w:rPr>
        <w:t>au titre du préjudice moral.</w:t>
      </w:r>
    </w:p>
    <w:p w:rsidR="00E77CB3" w:rsidRPr="00B94E33" w:rsidRDefault="00E77CB3" w:rsidP="00B94E33">
      <w:pPr>
        <w:pStyle w:val="ECHRHeading2"/>
        <w:rPr>
          <w:lang w:val="fr-FR"/>
        </w:rPr>
      </w:pPr>
      <w:r w:rsidRPr="00B94E33">
        <w:rPr>
          <w:lang w:val="fr-FR"/>
        </w:rPr>
        <w:t>B.  Frais et dépens</w:t>
      </w:r>
    </w:p>
    <w:p w:rsidR="00E77CB3" w:rsidRPr="00B94E33" w:rsidRDefault="00DA02C2"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156</w:t>
      </w:r>
      <w:r w:rsidRPr="00B94E33">
        <w:rPr>
          <w:lang w:val="fr-FR"/>
        </w:rPr>
        <w:fldChar w:fldCharType="end"/>
      </w:r>
      <w:r w:rsidR="00E77CB3" w:rsidRPr="00B94E33">
        <w:rPr>
          <w:lang w:val="fr-FR"/>
        </w:rPr>
        <w:t>.  </w:t>
      </w:r>
      <w:r w:rsidR="00C83A0D" w:rsidRPr="00B94E33">
        <w:rPr>
          <w:lang w:val="fr-FR"/>
        </w:rPr>
        <w:t>Justificatif</w:t>
      </w:r>
      <w:r w:rsidR="00AC04CE" w:rsidRPr="00B94E33">
        <w:rPr>
          <w:lang w:val="fr-FR"/>
        </w:rPr>
        <w:t>s</w:t>
      </w:r>
      <w:r w:rsidR="00C83A0D" w:rsidRPr="00B94E33">
        <w:rPr>
          <w:lang w:val="fr-FR"/>
        </w:rPr>
        <w:t xml:space="preserve"> à l</w:t>
      </w:r>
      <w:r w:rsidR="00B94E33" w:rsidRPr="00B94E33">
        <w:rPr>
          <w:lang w:val="fr-FR"/>
        </w:rPr>
        <w:t>’</w:t>
      </w:r>
      <w:r w:rsidR="00C83A0D" w:rsidRPr="00B94E33">
        <w:rPr>
          <w:lang w:val="fr-FR"/>
        </w:rPr>
        <w:t>appui, l</w:t>
      </w:r>
      <w:r w:rsidRPr="00B94E33">
        <w:rPr>
          <w:lang w:val="fr-FR"/>
        </w:rPr>
        <w:t>a requérante</w:t>
      </w:r>
      <w:r w:rsidR="00E77CB3" w:rsidRPr="00B94E33">
        <w:rPr>
          <w:lang w:val="fr-FR"/>
        </w:rPr>
        <w:t xml:space="preserve"> demande également </w:t>
      </w:r>
      <w:r w:rsidR="000E2D59" w:rsidRPr="00B94E33">
        <w:rPr>
          <w:lang w:val="fr-FR"/>
        </w:rPr>
        <w:t>18 208,68</w:t>
      </w:r>
      <w:r w:rsidR="00643E24" w:rsidRPr="00B94E33">
        <w:rPr>
          <w:lang w:val="fr-FR"/>
        </w:rPr>
        <w:t> </w:t>
      </w:r>
      <w:r w:rsidR="00C83A0D" w:rsidRPr="00B94E33">
        <w:rPr>
          <w:lang w:val="fr-FR"/>
        </w:rPr>
        <w:t xml:space="preserve">EUR pour </w:t>
      </w:r>
      <w:r w:rsidR="00C426D3" w:rsidRPr="00B94E33">
        <w:rPr>
          <w:lang w:val="fr-FR"/>
        </w:rPr>
        <w:t xml:space="preserve">les </w:t>
      </w:r>
      <w:r w:rsidR="00C83A0D" w:rsidRPr="00B94E33">
        <w:rPr>
          <w:lang w:val="fr-FR"/>
        </w:rPr>
        <w:t xml:space="preserve">frais et dépens </w:t>
      </w:r>
      <w:r w:rsidR="00AB4261" w:rsidRPr="00B94E33">
        <w:rPr>
          <w:lang w:val="fr-FR"/>
        </w:rPr>
        <w:t>qu</w:t>
      </w:r>
      <w:r w:rsidR="00B94E33" w:rsidRPr="00B94E33">
        <w:rPr>
          <w:lang w:val="fr-FR"/>
        </w:rPr>
        <w:t>’</w:t>
      </w:r>
      <w:r w:rsidR="00AB4261" w:rsidRPr="00B94E33">
        <w:rPr>
          <w:lang w:val="fr-FR"/>
        </w:rPr>
        <w:t xml:space="preserve">elle aurait </w:t>
      </w:r>
      <w:r w:rsidR="00C83A0D" w:rsidRPr="00B94E33">
        <w:rPr>
          <w:lang w:val="fr-FR"/>
        </w:rPr>
        <w:t xml:space="preserve">engagés devant </w:t>
      </w:r>
      <w:r w:rsidR="000E2D59" w:rsidRPr="00B94E33">
        <w:rPr>
          <w:lang w:val="fr-FR"/>
        </w:rPr>
        <w:t>la Cour</w:t>
      </w:r>
      <w:r w:rsidR="00E77CB3" w:rsidRPr="00B94E33">
        <w:rPr>
          <w:lang w:val="fr-FR"/>
        </w:rPr>
        <w:t>.</w:t>
      </w:r>
    </w:p>
    <w:p w:rsidR="00E77CB3" w:rsidRPr="00B94E33" w:rsidRDefault="00DA02C2"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157</w:t>
      </w:r>
      <w:r w:rsidRPr="00B94E33">
        <w:rPr>
          <w:lang w:val="fr-FR"/>
        </w:rPr>
        <w:fldChar w:fldCharType="end"/>
      </w:r>
      <w:r w:rsidR="000E2D59" w:rsidRPr="00B94E33">
        <w:rPr>
          <w:lang w:val="fr-FR"/>
        </w:rPr>
        <w:t>. </w:t>
      </w:r>
      <w:r w:rsidR="00A05E78" w:rsidRPr="00B94E33">
        <w:rPr>
          <w:rFonts w:ascii="Times New Roman" w:hAnsi="Times New Roman" w:cs="Times New Roman"/>
          <w:color w:val="000000"/>
          <w:lang w:val="fr-FR"/>
        </w:rPr>
        <w:t> </w:t>
      </w:r>
      <w:r w:rsidR="000E2D59" w:rsidRPr="00B94E33">
        <w:rPr>
          <w:rFonts w:ascii="Times New Roman" w:hAnsi="Times New Roman" w:cs="Times New Roman"/>
          <w:color w:val="000000"/>
          <w:lang w:val="fr-FR"/>
        </w:rPr>
        <w:t>Le Gouvernement conteste la prétention formulée par la requérante, arguant que celle-ci n</w:t>
      </w:r>
      <w:r w:rsidR="00B94E33" w:rsidRPr="00B94E33">
        <w:rPr>
          <w:rFonts w:ascii="Times New Roman" w:hAnsi="Times New Roman" w:cs="Times New Roman"/>
          <w:color w:val="000000"/>
          <w:lang w:val="fr-FR"/>
        </w:rPr>
        <w:t>’</w:t>
      </w:r>
      <w:r w:rsidR="000E2D59" w:rsidRPr="00B94E33">
        <w:rPr>
          <w:rFonts w:ascii="Times New Roman" w:hAnsi="Times New Roman" w:cs="Times New Roman"/>
          <w:color w:val="000000"/>
          <w:lang w:val="fr-FR"/>
        </w:rPr>
        <w:t xml:space="preserve">a pas démontré avoir </w:t>
      </w:r>
      <w:r w:rsidR="00A05E78" w:rsidRPr="00B94E33">
        <w:rPr>
          <w:rFonts w:ascii="Times New Roman" w:hAnsi="Times New Roman" w:cs="Times New Roman"/>
          <w:color w:val="000000"/>
          <w:lang w:val="fr-FR"/>
        </w:rPr>
        <w:t xml:space="preserve">exposé </w:t>
      </w:r>
      <w:r w:rsidR="000E2D59" w:rsidRPr="00B94E33">
        <w:rPr>
          <w:rFonts w:ascii="Times New Roman" w:hAnsi="Times New Roman" w:cs="Times New Roman"/>
          <w:color w:val="000000"/>
          <w:lang w:val="fr-FR"/>
        </w:rPr>
        <w:t>les frais et dépens réclamés</w:t>
      </w:r>
      <w:r w:rsidR="00643E24" w:rsidRPr="00B94E33">
        <w:rPr>
          <w:rFonts w:ascii="Times New Roman" w:hAnsi="Times New Roman" w:cs="Times New Roman"/>
          <w:color w:val="000000"/>
          <w:lang w:val="fr-FR"/>
        </w:rPr>
        <w:t>.</w:t>
      </w:r>
    </w:p>
    <w:p w:rsidR="00E77CB3" w:rsidRPr="00B94E33" w:rsidRDefault="00DA02C2"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158</w:t>
      </w:r>
      <w:r w:rsidRPr="00B94E33">
        <w:rPr>
          <w:lang w:val="fr-FR"/>
        </w:rPr>
        <w:fldChar w:fldCharType="end"/>
      </w:r>
      <w:r w:rsidR="00E77CB3" w:rsidRPr="00B94E33">
        <w:rPr>
          <w:lang w:val="fr-FR"/>
        </w:rPr>
        <w:t>.  </w:t>
      </w:r>
      <w:r w:rsidRPr="00B94E33">
        <w:rPr>
          <w:lang w:val="fr-FR"/>
        </w:rPr>
        <w:t>Selon la jurisprudence de la Cour, un requérant ne peut obtenir le remboursement de ses frais et dépens que dans la mesure où se trouvent établis leur réalité, leur nécessité et le caractère raisonnable de leur taux. En l</w:t>
      </w:r>
      <w:r w:rsidR="00B94E33" w:rsidRPr="00B94E33">
        <w:rPr>
          <w:lang w:val="fr-FR"/>
        </w:rPr>
        <w:t>’</w:t>
      </w:r>
      <w:r w:rsidRPr="00B94E33">
        <w:rPr>
          <w:lang w:val="fr-FR"/>
        </w:rPr>
        <w:t>espèce, compte</w:t>
      </w:r>
      <w:r w:rsidR="00E77CB3" w:rsidRPr="00B94E33">
        <w:rPr>
          <w:lang w:val="fr-FR"/>
        </w:rPr>
        <w:t xml:space="preserve"> tenu des documents </w:t>
      </w:r>
      <w:r w:rsidR="00D576CF" w:rsidRPr="00B94E33">
        <w:rPr>
          <w:lang w:val="fr-FR"/>
        </w:rPr>
        <w:t>dont elle dispose</w:t>
      </w:r>
      <w:r w:rsidR="00E77CB3" w:rsidRPr="00B94E33">
        <w:rPr>
          <w:lang w:val="fr-FR"/>
        </w:rPr>
        <w:t xml:space="preserve"> et de sa jurisprudence, la Cour estime raisonnable la somme de </w:t>
      </w:r>
      <w:r w:rsidR="0082778F" w:rsidRPr="00B94E33">
        <w:rPr>
          <w:lang w:val="fr-FR"/>
        </w:rPr>
        <w:t>10</w:t>
      </w:r>
      <w:r w:rsidR="00F636E8" w:rsidRPr="00B94E33">
        <w:rPr>
          <w:lang w:val="fr-FR"/>
        </w:rPr>
        <w:t> 000</w:t>
      </w:r>
      <w:r w:rsidR="00E77CB3" w:rsidRPr="00B94E33">
        <w:rPr>
          <w:lang w:val="fr-FR"/>
        </w:rPr>
        <w:t xml:space="preserve"> EUR pour la procédure devant </w:t>
      </w:r>
      <w:r w:rsidR="00643E24" w:rsidRPr="00B94E33">
        <w:rPr>
          <w:lang w:val="fr-FR"/>
        </w:rPr>
        <w:t>elle</w:t>
      </w:r>
      <w:r w:rsidR="00F636E8" w:rsidRPr="00B94E33">
        <w:rPr>
          <w:lang w:val="fr-FR"/>
        </w:rPr>
        <w:t xml:space="preserve"> </w:t>
      </w:r>
      <w:r w:rsidR="00E77CB3" w:rsidRPr="00B94E33">
        <w:rPr>
          <w:lang w:val="fr-FR"/>
        </w:rPr>
        <w:t>et l</w:t>
      </w:r>
      <w:r w:rsidR="00B94E33" w:rsidRPr="00B94E33">
        <w:rPr>
          <w:lang w:val="fr-FR"/>
        </w:rPr>
        <w:t>’</w:t>
      </w:r>
      <w:r w:rsidR="00E77CB3" w:rsidRPr="00B94E33">
        <w:rPr>
          <w:lang w:val="fr-FR"/>
        </w:rPr>
        <w:t xml:space="preserve">accorde </w:t>
      </w:r>
      <w:r w:rsidRPr="00B94E33">
        <w:rPr>
          <w:lang w:val="fr-FR"/>
        </w:rPr>
        <w:t>à la requérante</w:t>
      </w:r>
      <w:r w:rsidR="00E77CB3" w:rsidRPr="00B94E33">
        <w:rPr>
          <w:lang w:val="fr-FR"/>
        </w:rPr>
        <w:t>.</w:t>
      </w:r>
    </w:p>
    <w:p w:rsidR="00E77CB3" w:rsidRPr="00B94E33" w:rsidRDefault="00E77CB3" w:rsidP="00B94E33">
      <w:pPr>
        <w:pStyle w:val="ECHRHeading2"/>
        <w:rPr>
          <w:lang w:val="fr-FR"/>
        </w:rPr>
      </w:pPr>
      <w:r w:rsidRPr="00B94E33">
        <w:rPr>
          <w:lang w:val="fr-FR"/>
        </w:rPr>
        <w:t>C.  Intérêts moratoires</w:t>
      </w:r>
    </w:p>
    <w:p w:rsidR="00E77CB3" w:rsidRPr="00B94E33" w:rsidRDefault="00DA02C2" w:rsidP="00B94E33">
      <w:pPr>
        <w:pStyle w:val="ECHRPara"/>
        <w:rPr>
          <w:lang w:val="fr-FR"/>
        </w:rPr>
      </w:pPr>
      <w:r w:rsidRPr="00B94E33">
        <w:rPr>
          <w:lang w:val="fr-FR"/>
        </w:rPr>
        <w:fldChar w:fldCharType="begin"/>
      </w:r>
      <w:r w:rsidRPr="00B94E33">
        <w:rPr>
          <w:lang w:val="fr-FR"/>
        </w:rPr>
        <w:instrText xml:space="preserve"> SEQ level0 \*arabic </w:instrText>
      </w:r>
      <w:r w:rsidRPr="00B94E33">
        <w:rPr>
          <w:lang w:val="fr-FR"/>
        </w:rPr>
        <w:fldChar w:fldCharType="separate"/>
      </w:r>
      <w:r w:rsidR="00B94E33" w:rsidRPr="00B94E33">
        <w:rPr>
          <w:noProof/>
          <w:lang w:val="fr-FR"/>
        </w:rPr>
        <w:t>159</w:t>
      </w:r>
      <w:r w:rsidRPr="00B94E33">
        <w:rPr>
          <w:lang w:val="fr-FR"/>
        </w:rPr>
        <w:fldChar w:fldCharType="end"/>
      </w:r>
      <w:r w:rsidR="00E77CB3" w:rsidRPr="00B94E33">
        <w:rPr>
          <w:lang w:val="fr-FR"/>
        </w:rPr>
        <w:t>.  La Cour juge approprié de calquer le taux des intérêts moratoires sur le taux d</w:t>
      </w:r>
      <w:r w:rsidR="00B94E33" w:rsidRPr="00B94E33">
        <w:rPr>
          <w:lang w:val="fr-FR"/>
        </w:rPr>
        <w:t>’</w:t>
      </w:r>
      <w:r w:rsidR="00E77CB3" w:rsidRPr="00B94E33">
        <w:rPr>
          <w:lang w:val="fr-FR"/>
        </w:rPr>
        <w:t>intérêt de la facilité de prêt marginal de la Banque centrale européenne majoré de trois points de pourcentage.</w:t>
      </w:r>
    </w:p>
    <w:p w:rsidR="00E77CB3" w:rsidRPr="00B94E33" w:rsidRDefault="00E77CB3" w:rsidP="00B94E33">
      <w:pPr>
        <w:pStyle w:val="ECHRTitle1"/>
        <w:rPr>
          <w:lang w:val="fr-FR"/>
        </w:rPr>
      </w:pPr>
      <w:r w:rsidRPr="00B94E33">
        <w:rPr>
          <w:lang w:val="fr-FR"/>
        </w:rPr>
        <w:t>PAR CES MOTIFS, LA COUR</w:t>
      </w:r>
    </w:p>
    <w:p w:rsidR="005E1FA2" w:rsidRPr="00B94E33" w:rsidRDefault="00D8117A" w:rsidP="00B94E33">
      <w:pPr>
        <w:pStyle w:val="JuList"/>
        <w:rPr>
          <w:lang w:val="fr-FR"/>
        </w:rPr>
      </w:pPr>
      <w:r w:rsidRPr="00B94E33">
        <w:rPr>
          <w:lang w:val="fr-FR"/>
        </w:rPr>
        <w:t>1</w:t>
      </w:r>
      <w:r w:rsidR="005E1FA2" w:rsidRPr="00B94E33">
        <w:rPr>
          <w:lang w:val="fr-FR"/>
        </w:rPr>
        <w:t>.</w:t>
      </w:r>
      <w:r w:rsidR="00AB4261" w:rsidRPr="00B94E33">
        <w:rPr>
          <w:lang w:val="fr-FR"/>
        </w:rPr>
        <w:t>  </w:t>
      </w:r>
      <w:r w:rsidR="005E1FA2" w:rsidRPr="00B94E33">
        <w:rPr>
          <w:i/>
          <w:lang w:val="fr-FR"/>
        </w:rPr>
        <w:t>Joint au fond</w:t>
      </w:r>
      <w:r w:rsidR="005E1FA2" w:rsidRPr="00B94E33">
        <w:rPr>
          <w:lang w:val="fr-FR"/>
        </w:rPr>
        <w:t xml:space="preserve"> des griefs formulés sur le terrain des articles 2</w:t>
      </w:r>
      <w:r w:rsidR="00105C3F" w:rsidRPr="00B94E33">
        <w:rPr>
          <w:lang w:val="fr-FR"/>
        </w:rPr>
        <w:t xml:space="preserve"> et</w:t>
      </w:r>
      <w:r w:rsidR="005E1FA2" w:rsidRPr="00B94E33">
        <w:rPr>
          <w:lang w:val="fr-FR"/>
        </w:rPr>
        <w:t xml:space="preserve"> 3 de la Convention les exceptions préliminaires du Gouvernement tirées du non-épuisement des voies de recours internes et les </w:t>
      </w:r>
      <w:r w:rsidR="000A4460" w:rsidRPr="00B94E33">
        <w:rPr>
          <w:i/>
          <w:lang w:val="fr-FR"/>
        </w:rPr>
        <w:t>rejette</w:t>
      </w:r>
      <w:r w:rsidR="007D714E" w:rsidRPr="00B94E33">
        <w:rPr>
          <w:lang w:val="fr-FR"/>
        </w:rPr>
        <w:t xml:space="preserve"> à l</w:t>
      </w:r>
      <w:r w:rsidR="00B94E33" w:rsidRPr="00B94E33">
        <w:rPr>
          <w:lang w:val="fr-FR"/>
        </w:rPr>
        <w:t>’</w:t>
      </w:r>
      <w:r w:rsidR="007D714E" w:rsidRPr="00B94E33">
        <w:rPr>
          <w:lang w:val="fr-FR"/>
        </w:rPr>
        <w:t>unanimité ;</w:t>
      </w:r>
    </w:p>
    <w:p w:rsidR="005E1FA2" w:rsidRPr="00B94E33" w:rsidRDefault="005E1FA2" w:rsidP="00B94E33">
      <w:pPr>
        <w:pStyle w:val="JuList"/>
        <w:rPr>
          <w:lang w:val="fr-FR"/>
        </w:rPr>
      </w:pPr>
    </w:p>
    <w:p w:rsidR="005E1FA2" w:rsidRPr="00B94E33" w:rsidRDefault="00D8117A" w:rsidP="00B94E33">
      <w:pPr>
        <w:pStyle w:val="JuList"/>
        <w:rPr>
          <w:lang w:val="fr-FR"/>
        </w:rPr>
      </w:pPr>
      <w:r w:rsidRPr="00B94E33">
        <w:rPr>
          <w:lang w:val="fr-FR"/>
        </w:rPr>
        <w:t>2</w:t>
      </w:r>
      <w:r w:rsidR="005E1FA2" w:rsidRPr="00B94E33">
        <w:rPr>
          <w:lang w:val="fr-FR"/>
        </w:rPr>
        <w:t>.</w:t>
      </w:r>
      <w:r w:rsidR="00AB4261" w:rsidRPr="00B94E33">
        <w:rPr>
          <w:lang w:val="fr-FR"/>
        </w:rPr>
        <w:t>  </w:t>
      </w:r>
      <w:r w:rsidR="005E1FA2" w:rsidRPr="00B94E33">
        <w:rPr>
          <w:i/>
          <w:lang w:val="fr-FR"/>
        </w:rPr>
        <w:t>Déclare</w:t>
      </w:r>
      <w:r w:rsidR="00D00579" w:rsidRPr="00B94E33">
        <w:rPr>
          <w:i/>
          <w:lang w:val="fr-FR"/>
        </w:rPr>
        <w:t>,</w:t>
      </w:r>
      <w:r w:rsidR="005E1FA2" w:rsidRPr="00B94E33">
        <w:rPr>
          <w:lang w:val="fr-FR"/>
        </w:rPr>
        <w:t xml:space="preserve"> </w:t>
      </w:r>
      <w:r w:rsidR="006F0BB4" w:rsidRPr="00B94E33">
        <w:rPr>
          <w:lang w:val="fr-FR"/>
        </w:rPr>
        <w:t>à l</w:t>
      </w:r>
      <w:r w:rsidR="00B94E33" w:rsidRPr="00B94E33">
        <w:rPr>
          <w:lang w:val="fr-FR"/>
        </w:rPr>
        <w:t>’</w:t>
      </w:r>
      <w:r w:rsidR="006F0BB4" w:rsidRPr="00B94E33">
        <w:rPr>
          <w:lang w:val="fr-FR"/>
        </w:rPr>
        <w:t>unanimité</w:t>
      </w:r>
      <w:r w:rsidR="00D00579" w:rsidRPr="00B94E33">
        <w:rPr>
          <w:lang w:val="fr-FR"/>
        </w:rPr>
        <w:t>,</w:t>
      </w:r>
      <w:r w:rsidR="006F0BB4" w:rsidRPr="00B94E33">
        <w:rPr>
          <w:lang w:val="fr-FR"/>
        </w:rPr>
        <w:t xml:space="preserve"> </w:t>
      </w:r>
      <w:r w:rsidR="005E1FA2" w:rsidRPr="00B94E33">
        <w:rPr>
          <w:lang w:val="fr-FR"/>
        </w:rPr>
        <w:t xml:space="preserve">la requête </w:t>
      </w:r>
      <w:r w:rsidR="000A4460" w:rsidRPr="00B94E33">
        <w:rPr>
          <w:lang w:val="fr-FR"/>
        </w:rPr>
        <w:t>recevable</w:t>
      </w:r>
      <w:r w:rsidR="00643E24" w:rsidRPr="00B94E33">
        <w:rPr>
          <w:lang w:val="fr-FR"/>
        </w:rPr>
        <w:t> </w:t>
      </w:r>
      <w:r w:rsidR="000A4460" w:rsidRPr="00B94E33">
        <w:rPr>
          <w:lang w:val="fr-FR"/>
        </w:rPr>
        <w:t>;</w:t>
      </w:r>
    </w:p>
    <w:p w:rsidR="00860FDE" w:rsidRPr="00B94E33" w:rsidRDefault="00860FDE" w:rsidP="00B94E33">
      <w:pPr>
        <w:pStyle w:val="JuList"/>
        <w:rPr>
          <w:lang w:val="fr-FR"/>
        </w:rPr>
      </w:pPr>
    </w:p>
    <w:p w:rsidR="005E1FA2" w:rsidRPr="00B94E33" w:rsidRDefault="00D8117A" w:rsidP="00B94E33">
      <w:pPr>
        <w:pStyle w:val="JuList"/>
        <w:rPr>
          <w:lang w:val="fr-FR"/>
        </w:rPr>
      </w:pPr>
      <w:r w:rsidRPr="00B94E33">
        <w:rPr>
          <w:lang w:val="fr-FR"/>
        </w:rPr>
        <w:t>3</w:t>
      </w:r>
      <w:r w:rsidR="005E1FA2" w:rsidRPr="00B94E33">
        <w:rPr>
          <w:lang w:val="fr-FR"/>
        </w:rPr>
        <w:t>.</w:t>
      </w:r>
      <w:r w:rsidR="00AB4261" w:rsidRPr="00B94E33">
        <w:rPr>
          <w:lang w:val="fr-FR"/>
        </w:rPr>
        <w:t>  </w:t>
      </w:r>
      <w:r w:rsidR="005E1FA2" w:rsidRPr="00B94E33">
        <w:rPr>
          <w:i/>
          <w:lang w:val="fr-FR"/>
        </w:rPr>
        <w:t>Dit</w:t>
      </w:r>
      <w:r w:rsidR="00C344B6" w:rsidRPr="00B94E33">
        <w:rPr>
          <w:lang w:val="fr-FR"/>
        </w:rPr>
        <w:t>,</w:t>
      </w:r>
      <w:r w:rsidR="005E1FA2" w:rsidRPr="00B94E33">
        <w:rPr>
          <w:lang w:val="fr-FR"/>
        </w:rPr>
        <w:t xml:space="preserve"> </w:t>
      </w:r>
      <w:r w:rsidR="006F0BB4" w:rsidRPr="00B94E33">
        <w:rPr>
          <w:lang w:val="fr-FR"/>
        </w:rPr>
        <w:t>par six voix contre une</w:t>
      </w:r>
      <w:r w:rsidR="00C344B6" w:rsidRPr="00B94E33">
        <w:rPr>
          <w:lang w:val="fr-FR"/>
        </w:rPr>
        <w:t>,</w:t>
      </w:r>
      <w:r w:rsidR="006F0BB4" w:rsidRPr="00B94E33">
        <w:rPr>
          <w:lang w:val="fr-FR"/>
        </w:rPr>
        <w:t xml:space="preserve"> </w:t>
      </w:r>
      <w:r w:rsidR="005E1FA2" w:rsidRPr="00B94E33">
        <w:rPr>
          <w:lang w:val="fr-FR"/>
        </w:rPr>
        <w:t>qu</w:t>
      </w:r>
      <w:r w:rsidR="00B94E33" w:rsidRPr="00B94E33">
        <w:rPr>
          <w:lang w:val="fr-FR"/>
        </w:rPr>
        <w:t>’</w:t>
      </w:r>
      <w:r w:rsidR="005E1FA2" w:rsidRPr="00B94E33">
        <w:rPr>
          <w:lang w:val="fr-FR"/>
        </w:rPr>
        <w:t>il y a eu violation de l</w:t>
      </w:r>
      <w:r w:rsidR="00B94E33" w:rsidRPr="00B94E33">
        <w:rPr>
          <w:lang w:val="fr-FR"/>
        </w:rPr>
        <w:t>’</w:t>
      </w:r>
      <w:r w:rsidR="005E1FA2" w:rsidRPr="00B94E33">
        <w:rPr>
          <w:lang w:val="fr-FR"/>
        </w:rPr>
        <w:t xml:space="preserve">article 2 de la Convention </w:t>
      </w:r>
      <w:r w:rsidR="00AB4261" w:rsidRPr="00B94E33">
        <w:rPr>
          <w:lang w:val="fr-FR"/>
        </w:rPr>
        <w:t>à raison du meurtre</w:t>
      </w:r>
      <w:r w:rsidR="005E1FA2" w:rsidRPr="00B94E33">
        <w:rPr>
          <w:lang w:val="fr-FR"/>
        </w:rPr>
        <w:t xml:space="preserve"> du fils de la requérante et </w:t>
      </w:r>
      <w:r w:rsidR="006B7591" w:rsidRPr="00B94E33">
        <w:rPr>
          <w:lang w:val="fr-FR"/>
        </w:rPr>
        <w:t xml:space="preserve">de </w:t>
      </w:r>
      <w:r w:rsidR="005E1FA2" w:rsidRPr="00B94E33">
        <w:rPr>
          <w:lang w:val="fr-FR"/>
        </w:rPr>
        <w:t xml:space="preserve">la tentative de meurtre </w:t>
      </w:r>
      <w:r w:rsidR="00AB4261" w:rsidRPr="00B94E33">
        <w:rPr>
          <w:lang w:val="fr-FR"/>
        </w:rPr>
        <w:t xml:space="preserve">sur </w:t>
      </w:r>
      <w:r w:rsidR="005E1FA2" w:rsidRPr="00B94E33">
        <w:rPr>
          <w:lang w:val="fr-FR"/>
        </w:rPr>
        <w:t>cette dernière</w:t>
      </w:r>
      <w:r w:rsidR="00643E24" w:rsidRPr="00B94E33">
        <w:rPr>
          <w:lang w:val="fr-FR"/>
        </w:rPr>
        <w:t> ;</w:t>
      </w:r>
    </w:p>
    <w:p w:rsidR="005E1FA2" w:rsidRPr="00B94E33" w:rsidRDefault="005E1FA2" w:rsidP="00B94E33">
      <w:pPr>
        <w:pStyle w:val="JuList"/>
        <w:rPr>
          <w:lang w:val="fr-FR"/>
        </w:rPr>
      </w:pPr>
    </w:p>
    <w:p w:rsidR="005E1FA2" w:rsidRPr="00B94E33" w:rsidRDefault="00D8117A" w:rsidP="00B94E33">
      <w:pPr>
        <w:pStyle w:val="JuList"/>
        <w:rPr>
          <w:lang w:val="fr-FR"/>
        </w:rPr>
      </w:pPr>
      <w:r w:rsidRPr="00B94E33">
        <w:rPr>
          <w:lang w:val="fr-FR"/>
        </w:rPr>
        <w:t>4</w:t>
      </w:r>
      <w:r w:rsidR="005E1FA2" w:rsidRPr="00B94E33">
        <w:rPr>
          <w:lang w:val="fr-FR"/>
        </w:rPr>
        <w:t>.</w:t>
      </w:r>
      <w:r w:rsidR="006B7591" w:rsidRPr="00B94E33">
        <w:rPr>
          <w:lang w:val="fr-FR"/>
        </w:rPr>
        <w:t>  </w:t>
      </w:r>
      <w:r w:rsidR="005E1FA2" w:rsidRPr="00B94E33">
        <w:rPr>
          <w:i/>
          <w:lang w:val="fr-FR"/>
        </w:rPr>
        <w:t>Dit</w:t>
      </w:r>
      <w:r w:rsidR="00C344B6" w:rsidRPr="00B94E33">
        <w:rPr>
          <w:lang w:val="fr-FR"/>
        </w:rPr>
        <w:t xml:space="preserve">, </w:t>
      </w:r>
      <w:r w:rsidR="006F0BB4" w:rsidRPr="00B94E33">
        <w:rPr>
          <w:lang w:val="fr-FR"/>
        </w:rPr>
        <w:t>à l</w:t>
      </w:r>
      <w:r w:rsidR="00B94E33" w:rsidRPr="00B94E33">
        <w:rPr>
          <w:lang w:val="fr-FR"/>
        </w:rPr>
        <w:t>’</w:t>
      </w:r>
      <w:r w:rsidR="006F0BB4" w:rsidRPr="00B94E33">
        <w:rPr>
          <w:lang w:val="fr-FR"/>
        </w:rPr>
        <w:t>unanimité</w:t>
      </w:r>
      <w:r w:rsidR="00C344B6" w:rsidRPr="00B94E33">
        <w:rPr>
          <w:lang w:val="fr-FR"/>
        </w:rPr>
        <w:t>,</w:t>
      </w:r>
      <w:r w:rsidR="006F0BB4" w:rsidRPr="00B94E33">
        <w:rPr>
          <w:lang w:val="fr-FR"/>
        </w:rPr>
        <w:t xml:space="preserve"> </w:t>
      </w:r>
      <w:r w:rsidR="005E1FA2" w:rsidRPr="00B94E33">
        <w:rPr>
          <w:lang w:val="fr-FR"/>
        </w:rPr>
        <w:t>qu</w:t>
      </w:r>
      <w:r w:rsidR="00B94E33" w:rsidRPr="00B94E33">
        <w:rPr>
          <w:lang w:val="fr-FR"/>
        </w:rPr>
        <w:t>’</w:t>
      </w:r>
      <w:r w:rsidR="005E1FA2" w:rsidRPr="00B94E33">
        <w:rPr>
          <w:lang w:val="fr-FR"/>
        </w:rPr>
        <w:t>il y a eu violation de l</w:t>
      </w:r>
      <w:r w:rsidR="00B94E33" w:rsidRPr="00B94E33">
        <w:rPr>
          <w:lang w:val="fr-FR"/>
        </w:rPr>
        <w:t>’</w:t>
      </w:r>
      <w:r w:rsidR="005E1FA2" w:rsidRPr="00B94E33">
        <w:rPr>
          <w:lang w:val="fr-FR"/>
        </w:rPr>
        <w:t xml:space="preserve">article 3 de la Convention </w:t>
      </w:r>
      <w:r w:rsidR="006B7591" w:rsidRPr="00B94E33">
        <w:rPr>
          <w:lang w:val="fr-FR"/>
        </w:rPr>
        <w:t>à</w:t>
      </w:r>
      <w:r w:rsidR="005E1FA2" w:rsidRPr="00B94E33">
        <w:rPr>
          <w:lang w:val="fr-FR"/>
        </w:rPr>
        <w:t xml:space="preserve"> raison du manquement des autorités à leur obligation de protéger la requérante contre les actes de violence</w:t>
      </w:r>
      <w:r w:rsidR="004D4AB3" w:rsidRPr="00B94E33">
        <w:rPr>
          <w:lang w:val="fr-FR"/>
        </w:rPr>
        <w:t>s</w:t>
      </w:r>
      <w:r w:rsidR="005E1FA2" w:rsidRPr="00B94E33">
        <w:rPr>
          <w:lang w:val="fr-FR"/>
        </w:rPr>
        <w:t xml:space="preserve"> domestique</w:t>
      </w:r>
      <w:r w:rsidR="00C73681" w:rsidRPr="00B94E33">
        <w:rPr>
          <w:lang w:val="fr-FR"/>
        </w:rPr>
        <w:t>s</w:t>
      </w:r>
      <w:r w:rsidR="005E1FA2" w:rsidRPr="00B94E33">
        <w:rPr>
          <w:lang w:val="fr-FR"/>
        </w:rPr>
        <w:t xml:space="preserve"> commis par A.T</w:t>
      </w:r>
      <w:r w:rsidR="00B54025" w:rsidRPr="00B94E33">
        <w:rPr>
          <w:lang w:val="fr-FR"/>
        </w:rPr>
        <w:t>.</w:t>
      </w:r>
      <w:r w:rsidR="00643E24" w:rsidRPr="00B94E33">
        <w:rPr>
          <w:lang w:val="fr-FR"/>
        </w:rPr>
        <w:t> ;</w:t>
      </w:r>
    </w:p>
    <w:p w:rsidR="005E1FA2" w:rsidRPr="00B94E33" w:rsidRDefault="005E1FA2" w:rsidP="00B94E33">
      <w:pPr>
        <w:pStyle w:val="JuList"/>
        <w:rPr>
          <w:lang w:val="fr-FR"/>
        </w:rPr>
      </w:pPr>
    </w:p>
    <w:p w:rsidR="005E1FA2" w:rsidRPr="00B94E33" w:rsidRDefault="00D8117A" w:rsidP="00B94E33">
      <w:pPr>
        <w:pStyle w:val="JuList"/>
        <w:rPr>
          <w:lang w:val="fr-FR"/>
        </w:rPr>
      </w:pPr>
      <w:r w:rsidRPr="00B94E33">
        <w:rPr>
          <w:lang w:val="fr-FR"/>
        </w:rPr>
        <w:t>5</w:t>
      </w:r>
      <w:r w:rsidR="005E1FA2" w:rsidRPr="00B94E33">
        <w:rPr>
          <w:lang w:val="fr-FR"/>
        </w:rPr>
        <w:t>.</w:t>
      </w:r>
      <w:r w:rsidR="006B7591" w:rsidRPr="00B94E33">
        <w:rPr>
          <w:lang w:val="fr-FR"/>
        </w:rPr>
        <w:t>  </w:t>
      </w:r>
      <w:r w:rsidR="005E1FA2" w:rsidRPr="00B94E33">
        <w:rPr>
          <w:i/>
          <w:lang w:val="fr-FR"/>
        </w:rPr>
        <w:t>Dit</w:t>
      </w:r>
      <w:r w:rsidR="00C344B6" w:rsidRPr="00B94E33">
        <w:rPr>
          <w:lang w:val="fr-FR"/>
        </w:rPr>
        <w:t>,</w:t>
      </w:r>
      <w:r w:rsidR="001B6359" w:rsidRPr="00B94E33">
        <w:rPr>
          <w:lang w:val="fr-FR"/>
        </w:rPr>
        <w:t xml:space="preserve"> </w:t>
      </w:r>
      <w:r w:rsidR="006F0BB4" w:rsidRPr="00B94E33">
        <w:rPr>
          <w:lang w:val="fr-FR"/>
        </w:rPr>
        <w:t>à l</w:t>
      </w:r>
      <w:r w:rsidR="00B94E33" w:rsidRPr="00B94E33">
        <w:rPr>
          <w:lang w:val="fr-FR"/>
        </w:rPr>
        <w:t>’</w:t>
      </w:r>
      <w:r w:rsidR="006F0BB4" w:rsidRPr="00B94E33">
        <w:rPr>
          <w:lang w:val="fr-FR"/>
        </w:rPr>
        <w:t>unanimité</w:t>
      </w:r>
      <w:r w:rsidR="00C344B6" w:rsidRPr="00B94E33">
        <w:rPr>
          <w:lang w:val="fr-FR"/>
        </w:rPr>
        <w:t>,</w:t>
      </w:r>
      <w:r w:rsidR="006F0BB4" w:rsidRPr="00B94E33">
        <w:rPr>
          <w:lang w:val="fr-FR"/>
        </w:rPr>
        <w:t xml:space="preserve"> </w:t>
      </w:r>
      <w:r w:rsidR="005E1FA2" w:rsidRPr="00B94E33">
        <w:rPr>
          <w:lang w:val="fr-FR"/>
        </w:rPr>
        <w:t>qu</w:t>
      </w:r>
      <w:r w:rsidR="00B94E33" w:rsidRPr="00B94E33">
        <w:rPr>
          <w:lang w:val="fr-FR"/>
        </w:rPr>
        <w:t>’</w:t>
      </w:r>
      <w:r w:rsidR="005E1FA2" w:rsidRPr="00B94E33">
        <w:rPr>
          <w:lang w:val="fr-FR"/>
        </w:rPr>
        <w:t>il n</w:t>
      </w:r>
      <w:r w:rsidR="00B94E33" w:rsidRPr="00B94E33">
        <w:rPr>
          <w:lang w:val="fr-FR"/>
        </w:rPr>
        <w:t>’</w:t>
      </w:r>
      <w:r w:rsidR="005E1FA2" w:rsidRPr="00B94E33">
        <w:rPr>
          <w:lang w:val="fr-FR"/>
        </w:rPr>
        <w:t>y a pas lieu d</w:t>
      </w:r>
      <w:r w:rsidR="00B94E33" w:rsidRPr="00B94E33">
        <w:rPr>
          <w:lang w:val="fr-FR"/>
        </w:rPr>
        <w:t>’</w:t>
      </w:r>
      <w:r w:rsidR="005E1FA2" w:rsidRPr="00B94E33">
        <w:rPr>
          <w:lang w:val="fr-FR"/>
        </w:rPr>
        <w:t>examiner les griefs formulés sur le terrain des articles 8 et 13 de la Convention</w:t>
      </w:r>
      <w:r w:rsidR="006B7591" w:rsidRPr="00B94E33">
        <w:rPr>
          <w:lang w:val="fr-FR"/>
        </w:rPr>
        <w:t> ;</w:t>
      </w:r>
    </w:p>
    <w:p w:rsidR="000E1D57" w:rsidRPr="00B94E33" w:rsidRDefault="000E1D57" w:rsidP="00B94E33">
      <w:pPr>
        <w:pStyle w:val="JuList"/>
        <w:rPr>
          <w:lang w:val="fr-FR"/>
        </w:rPr>
      </w:pPr>
    </w:p>
    <w:p w:rsidR="00743DF4" w:rsidRPr="00B94E33" w:rsidRDefault="00D8117A" w:rsidP="00B94E33">
      <w:pPr>
        <w:pStyle w:val="JuList"/>
        <w:rPr>
          <w:lang w:val="fr-FR"/>
        </w:rPr>
      </w:pPr>
      <w:r w:rsidRPr="00B94E33">
        <w:rPr>
          <w:rFonts w:ascii="Times New Roman" w:eastAsiaTheme="minorHAnsi" w:hAnsi="Times New Roman" w:cs="Times New Roman"/>
          <w:color w:val="000000"/>
          <w:szCs w:val="24"/>
          <w:lang w:val="fr-FR"/>
        </w:rPr>
        <w:t>6</w:t>
      </w:r>
      <w:r w:rsidR="00743DF4" w:rsidRPr="00B94E33">
        <w:rPr>
          <w:rFonts w:ascii="Times New Roman" w:eastAsiaTheme="minorHAnsi" w:hAnsi="Times New Roman" w:cs="Times New Roman"/>
          <w:color w:val="000000"/>
          <w:szCs w:val="24"/>
          <w:lang w:val="fr-FR"/>
        </w:rPr>
        <w:t>.  </w:t>
      </w:r>
      <w:r w:rsidR="00743DF4" w:rsidRPr="00B94E33">
        <w:rPr>
          <w:rFonts w:ascii="Times New Roman" w:eastAsiaTheme="minorHAnsi" w:hAnsi="Times New Roman" w:cs="Times New Roman"/>
          <w:i/>
          <w:iCs/>
          <w:color w:val="000000"/>
          <w:szCs w:val="24"/>
          <w:lang w:val="fr-FR"/>
        </w:rPr>
        <w:t>Dit</w:t>
      </w:r>
      <w:r w:rsidR="006F0BB4" w:rsidRPr="00B94E33">
        <w:rPr>
          <w:rFonts w:ascii="Times New Roman" w:eastAsiaTheme="minorHAnsi" w:hAnsi="Times New Roman" w:cs="Times New Roman"/>
          <w:color w:val="000000"/>
          <w:szCs w:val="24"/>
          <w:lang w:val="fr-FR"/>
        </w:rPr>
        <w:t xml:space="preserve">, par cinq voix contre deux, </w:t>
      </w:r>
      <w:r w:rsidR="00743DF4" w:rsidRPr="00B94E33">
        <w:rPr>
          <w:rFonts w:ascii="Times New Roman" w:eastAsiaTheme="minorHAnsi" w:hAnsi="Times New Roman" w:cs="Times New Roman"/>
          <w:color w:val="000000"/>
          <w:szCs w:val="24"/>
          <w:lang w:val="fr-FR"/>
        </w:rPr>
        <w:t>qu</w:t>
      </w:r>
      <w:r w:rsidR="00B94E33" w:rsidRPr="00B94E33">
        <w:rPr>
          <w:rFonts w:ascii="Times New Roman" w:eastAsiaTheme="minorHAnsi" w:hAnsi="Times New Roman" w:cs="Times New Roman"/>
          <w:color w:val="000000"/>
          <w:szCs w:val="24"/>
          <w:lang w:val="fr-FR"/>
        </w:rPr>
        <w:t>’</w:t>
      </w:r>
      <w:r w:rsidR="00743DF4" w:rsidRPr="00B94E33">
        <w:rPr>
          <w:rFonts w:ascii="Times New Roman" w:eastAsiaTheme="minorHAnsi" w:hAnsi="Times New Roman" w:cs="Times New Roman"/>
          <w:color w:val="000000"/>
          <w:szCs w:val="24"/>
          <w:lang w:val="fr-FR"/>
        </w:rPr>
        <w:t xml:space="preserve">il y a eu violation </w:t>
      </w:r>
      <w:r w:rsidR="00743DF4" w:rsidRPr="00B94E33">
        <w:rPr>
          <w:lang w:val="fr-FR"/>
        </w:rPr>
        <w:t>de l</w:t>
      </w:r>
      <w:r w:rsidR="00B94E33" w:rsidRPr="00B94E33">
        <w:rPr>
          <w:lang w:val="fr-FR"/>
        </w:rPr>
        <w:t>’</w:t>
      </w:r>
      <w:r w:rsidR="00743DF4" w:rsidRPr="00B94E33">
        <w:rPr>
          <w:lang w:val="fr-FR"/>
        </w:rPr>
        <w:t>article 14 de la Convention combiné avec les articles 2 et 3</w:t>
      </w:r>
      <w:r w:rsidR="00743DF4" w:rsidRPr="00B94E33">
        <w:rPr>
          <w:rFonts w:ascii="Times New Roman" w:eastAsiaTheme="minorHAnsi" w:hAnsi="Times New Roman" w:cs="Times New Roman"/>
          <w:color w:val="000000"/>
          <w:szCs w:val="24"/>
          <w:lang w:val="fr-FR"/>
        </w:rPr>
        <w:t> ;</w:t>
      </w:r>
    </w:p>
    <w:p w:rsidR="005E1FA2" w:rsidRPr="00B94E33" w:rsidRDefault="005E1FA2" w:rsidP="00B94E33">
      <w:pPr>
        <w:pStyle w:val="JuList"/>
        <w:rPr>
          <w:lang w:val="fr-FR"/>
        </w:rPr>
      </w:pPr>
    </w:p>
    <w:p w:rsidR="009A4363" w:rsidRPr="00B94E33" w:rsidRDefault="000E1D57" w:rsidP="00B94E33">
      <w:pPr>
        <w:pStyle w:val="JuList"/>
        <w:rPr>
          <w:lang w:val="fr-FR"/>
        </w:rPr>
      </w:pPr>
      <w:r w:rsidRPr="00B94E33">
        <w:rPr>
          <w:lang w:val="fr-FR"/>
        </w:rPr>
        <w:t>7</w:t>
      </w:r>
      <w:r w:rsidR="00E77CB3" w:rsidRPr="00B94E33">
        <w:rPr>
          <w:lang w:val="fr-FR"/>
        </w:rPr>
        <w:t>.  </w:t>
      </w:r>
      <w:r w:rsidR="00E77CB3" w:rsidRPr="00B94E33">
        <w:rPr>
          <w:i/>
          <w:lang w:val="fr-FR"/>
        </w:rPr>
        <w:t>Dit</w:t>
      </w:r>
      <w:r w:rsidR="00DA02C2" w:rsidRPr="00B94E33">
        <w:rPr>
          <w:lang w:val="fr-FR"/>
        </w:rPr>
        <w:t xml:space="preserve">, par </w:t>
      </w:r>
      <w:r w:rsidR="006F0BB4" w:rsidRPr="00B94E33">
        <w:rPr>
          <w:lang w:val="fr-FR"/>
        </w:rPr>
        <w:t>cinq</w:t>
      </w:r>
      <w:r w:rsidR="00DA02C2" w:rsidRPr="00B94E33">
        <w:rPr>
          <w:lang w:val="fr-FR"/>
        </w:rPr>
        <w:t xml:space="preserve"> voix contre </w:t>
      </w:r>
      <w:r w:rsidR="006F0BB4" w:rsidRPr="00B94E33">
        <w:rPr>
          <w:lang w:val="fr-FR"/>
        </w:rPr>
        <w:t>deux</w:t>
      </w:r>
      <w:r w:rsidR="00C344B6" w:rsidRPr="00B94E33">
        <w:rPr>
          <w:lang w:val="fr-FR"/>
        </w:rPr>
        <w:t>,</w:t>
      </w:r>
    </w:p>
    <w:p w:rsidR="00E77CB3" w:rsidRPr="00B94E33" w:rsidRDefault="00E77CB3" w:rsidP="00B94E33">
      <w:pPr>
        <w:pStyle w:val="JuLista"/>
        <w:rPr>
          <w:lang w:val="fr-FR"/>
        </w:rPr>
      </w:pPr>
      <w:r w:rsidRPr="00B94E33">
        <w:rPr>
          <w:lang w:val="fr-FR"/>
        </w:rPr>
        <w:t>a)  que l</w:t>
      </w:r>
      <w:r w:rsidR="00B94E33" w:rsidRPr="00B94E33">
        <w:rPr>
          <w:lang w:val="fr-FR"/>
        </w:rPr>
        <w:t>’</w:t>
      </w:r>
      <w:r w:rsidRPr="00B94E33">
        <w:rPr>
          <w:lang w:val="fr-FR"/>
        </w:rPr>
        <w:t xml:space="preserve">État défendeur doit verser </w:t>
      </w:r>
      <w:r w:rsidR="00DA02C2" w:rsidRPr="00B94E33">
        <w:rPr>
          <w:lang w:val="fr-FR"/>
        </w:rPr>
        <w:t>à la requérante</w:t>
      </w:r>
      <w:r w:rsidRPr="00B94E33">
        <w:rPr>
          <w:lang w:val="fr-FR"/>
        </w:rPr>
        <w:t>, dans les trois mois</w:t>
      </w:r>
      <w:r w:rsidR="00860FDE" w:rsidRPr="00B94E33">
        <w:rPr>
          <w:lang w:val="fr-FR"/>
        </w:rPr>
        <w:t xml:space="preserve"> </w:t>
      </w:r>
      <w:r w:rsidR="00DA02C2" w:rsidRPr="00B94E33">
        <w:rPr>
          <w:lang w:val="fr-FR"/>
        </w:rPr>
        <w:t>à compter du jour où l</w:t>
      </w:r>
      <w:r w:rsidR="00B94E33" w:rsidRPr="00B94E33">
        <w:rPr>
          <w:lang w:val="fr-FR"/>
        </w:rPr>
        <w:t>’</w:t>
      </w:r>
      <w:r w:rsidR="00DA02C2" w:rsidRPr="00B94E33">
        <w:rPr>
          <w:lang w:val="fr-FR"/>
        </w:rPr>
        <w:t>arrêt sera devenu définitif conformément à l</w:t>
      </w:r>
      <w:r w:rsidR="00B94E33" w:rsidRPr="00B94E33">
        <w:rPr>
          <w:lang w:val="fr-FR"/>
        </w:rPr>
        <w:t>’</w:t>
      </w:r>
      <w:r w:rsidR="00DA02C2" w:rsidRPr="00B94E33">
        <w:rPr>
          <w:lang w:val="fr-FR"/>
        </w:rPr>
        <w:t>article 44 § 2 de la Convention</w:t>
      </w:r>
      <w:r w:rsidRPr="00B94E33">
        <w:rPr>
          <w:lang w:val="fr-FR"/>
        </w:rPr>
        <w:t>, les sommes suivantes :</w:t>
      </w:r>
    </w:p>
    <w:p w:rsidR="00E77CB3" w:rsidRPr="00B94E33" w:rsidRDefault="00760D73" w:rsidP="00B94E33">
      <w:pPr>
        <w:pStyle w:val="JuListi"/>
        <w:rPr>
          <w:lang w:val="fr-FR" w:eastAsia="en-GB"/>
        </w:rPr>
      </w:pPr>
      <w:r w:rsidRPr="00B94E33">
        <w:rPr>
          <w:lang w:val="fr-FR" w:eastAsia="en-GB"/>
        </w:rPr>
        <w:t>i</w:t>
      </w:r>
      <w:r w:rsidR="006B7591" w:rsidRPr="00B94E33">
        <w:rPr>
          <w:lang w:val="fr-FR" w:eastAsia="en-GB"/>
        </w:rPr>
        <w:t>.</w:t>
      </w:r>
      <w:r w:rsidR="00E77CB3" w:rsidRPr="00B94E33">
        <w:rPr>
          <w:lang w:val="fr-FR" w:eastAsia="en-GB"/>
        </w:rPr>
        <w:t>  </w:t>
      </w:r>
      <w:r w:rsidR="00C55D1F" w:rsidRPr="00B94E33">
        <w:rPr>
          <w:lang w:val="fr-FR" w:eastAsia="en-GB"/>
        </w:rPr>
        <w:t>30</w:t>
      </w:r>
      <w:r w:rsidRPr="00B94E33">
        <w:rPr>
          <w:lang w:val="fr-FR" w:eastAsia="en-GB"/>
        </w:rPr>
        <w:t> 000</w:t>
      </w:r>
      <w:r w:rsidR="00E77CB3" w:rsidRPr="00B94E33">
        <w:rPr>
          <w:lang w:val="fr-FR" w:eastAsia="en-GB"/>
        </w:rPr>
        <w:t xml:space="preserve"> EUR (</w:t>
      </w:r>
      <w:r w:rsidR="00C55D1F" w:rsidRPr="00B94E33">
        <w:rPr>
          <w:lang w:val="fr-FR" w:eastAsia="en-GB"/>
        </w:rPr>
        <w:t>trente</w:t>
      </w:r>
      <w:r w:rsidRPr="00B94E33">
        <w:rPr>
          <w:lang w:val="fr-FR" w:eastAsia="en-GB"/>
        </w:rPr>
        <w:t xml:space="preserve"> mille</w:t>
      </w:r>
      <w:r w:rsidR="00E77CB3" w:rsidRPr="00B94E33">
        <w:rPr>
          <w:lang w:val="fr-FR" w:eastAsia="en-GB"/>
        </w:rPr>
        <w:t xml:space="preserve"> euros), plus tout montant pouvant être dû à titre d</w:t>
      </w:r>
      <w:r w:rsidR="00B94E33" w:rsidRPr="00B94E33">
        <w:rPr>
          <w:lang w:val="fr-FR" w:eastAsia="en-GB"/>
        </w:rPr>
        <w:t>’</w:t>
      </w:r>
      <w:r w:rsidR="00E77CB3" w:rsidRPr="00B94E33">
        <w:rPr>
          <w:lang w:val="fr-FR" w:eastAsia="en-GB"/>
        </w:rPr>
        <w:t>impôt, pour dommage moral</w:t>
      </w:r>
      <w:r w:rsidR="006B7591" w:rsidRPr="00B94E33">
        <w:rPr>
          <w:lang w:val="fr-FR" w:eastAsia="en-GB"/>
        </w:rPr>
        <w:t>,</w:t>
      </w:r>
    </w:p>
    <w:p w:rsidR="00E77CB3" w:rsidRPr="00B94E33" w:rsidRDefault="00760D73" w:rsidP="00B94E33">
      <w:pPr>
        <w:pStyle w:val="JuListi"/>
        <w:rPr>
          <w:lang w:val="fr-FR" w:eastAsia="en-GB"/>
        </w:rPr>
      </w:pPr>
      <w:r w:rsidRPr="00B94E33">
        <w:rPr>
          <w:lang w:val="fr-FR" w:eastAsia="en-GB"/>
        </w:rPr>
        <w:t>ii</w:t>
      </w:r>
      <w:r w:rsidR="006B7591" w:rsidRPr="00B94E33">
        <w:rPr>
          <w:lang w:val="fr-FR" w:eastAsia="en-GB"/>
        </w:rPr>
        <w:t>.</w:t>
      </w:r>
      <w:r w:rsidR="00E77CB3" w:rsidRPr="00B94E33">
        <w:rPr>
          <w:lang w:val="fr-FR" w:eastAsia="en-GB"/>
        </w:rPr>
        <w:t>  </w:t>
      </w:r>
      <w:r w:rsidR="00860FDE" w:rsidRPr="00B94E33">
        <w:rPr>
          <w:lang w:val="fr-FR" w:eastAsia="en-GB"/>
        </w:rPr>
        <w:t>1</w:t>
      </w:r>
      <w:r w:rsidR="0082778F" w:rsidRPr="00B94E33">
        <w:rPr>
          <w:lang w:val="fr-FR" w:eastAsia="en-GB"/>
        </w:rPr>
        <w:t>0</w:t>
      </w:r>
      <w:r w:rsidR="00860FDE" w:rsidRPr="00B94E33">
        <w:rPr>
          <w:lang w:val="fr-FR" w:eastAsia="en-GB"/>
        </w:rPr>
        <w:t> 000</w:t>
      </w:r>
      <w:r w:rsidR="00E77CB3" w:rsidRPr="00B94E33">
        <w:rPr>
          <w:lang w:val="fr-FR" w:eastAsia="en-GB"/>
        </w:rPr>
        <w:t xml:space="preserve"> EUR (</w:t>
      </w:r>
      <w:r w:rsidR="0082778F" w:rsidRPr="00B94E33">
        <w:rPr>
          <w:lang w:val="fr-FR" w:eastAsia="en-GB"/>
        </w:rPr>
        <w:t>dix</w:t>
      </w:r>
      <w:r w:rsidR="00860FDE" w:rsidRPr="00B94E33">
        <w:rPr>
          <w:lang w:val="fr-FR" w:eastAsia="en-GB"/>
        </w:rPr>
        <w:t xml:space="preserve"> mille euros</w:t>
      </w:r>
      <w:r w:rsidR="00E77CB3" w:rsidRPr="00B94E33">
        <w:rPr>
          <w:lang w:val="fr-FR" w:eastAsia="en-GB"/>
        </w:rPr>
        <w:t xml:space="preserve">), plus tout montant </w:t>
      </w:r>
      <w:r w:rsidR="005E37C6" w:rsidRPr="00B94E33">
        <w:rPr>
          <w:lang w:val="fr-FR" w:eastAsia="en-GB"/>
        </w:rPr>
        <w:t xml:space="preserve">pouvant être dû par </w:t>
      </w:r>
      <w:r w:rsidR="00DA02C2" w:rsidRPr="00B94E33">
        <w:rPr>
          <w:lang w:val="fr-FR"/>
        </w:rPr>
        <w:t>la requérante</w:t>
      </w:r>
      <w:r w:rsidR="005E37C6" w:rsidRPr="00B94E33">
        <w:rPr>
          <w:lang w:val="fr-FR" w:eastAsia="en-GB"/>
        </w:rPr>
        <w:t xml:space="preserve"> à titre d</w:t>
      </w:r>
      <w:r w:rsidR="00B94E33" w:rsidRPr="00B94E33">
        <w:rPr>
          <w:lang w:val="fr-FR" w:eastAsia="en-GB"/>
        </w:rPr>
        <w:t>’</w:t>
      </w:r>
      <w:r w:rsidR="005E37C6" w:rsidRPr="00B94E33">
        <w:rPr>
          <w:lang w:val="fr-FR" w:eastAsia="en-GB"/>
        </w:rPr>
        <w:t>impôt, pour frais et dépens</w:t>
      </w:r>
      <w:r w:rsidR="00E77CB3" w:rsidRPr="00B94E33">
        <w:rPr>
          <w:lang w:val="fr-FR" w:eastAsia="en-GB"/>
        </w:rPr>
        <w:t> ;</w:t>
      </w:r>
    </w:p>
    <w:p w:rsidR="00E77CB3" w:rsidRPr="00B94E33" w:rsidRDefault="00E77CB3" w:rsidP="00B94E33">
      <w:pPr>
        <w:pStyle w:val="JuLista"/>
        <w:rPr>
          <w:lang w:val="fr-FR"/>
        </w:rPr>
      </w:pPr>
      <w:r w:rsidRPr="00B94E33">
        <w:rPr>
          <w:lang w:val="fr-FR"/>
        </w:rPr>
        <w:t>b)  qu</w:t>
      </w:r>
      <w:r w:rsidR="00B94E33" w:rsidRPr="00B94E33">
        <w:rPr>
          <w:lang w:val="fr-FR"/>
        </w:rPr>
        <w:t>’</w:t>
      </w:r>
      <w:r w:rsidRPr="00B94E33">
        <w:rPr>
          <w:lang w:val="fr-FR"/>
        </w:rPr>
        <w:t>à compter de l</w:t>
      </w:r>
      <w:r w:rsidR="00B94E33" w:rsidRPr="00B94E33">
        <w:rPr>
          <w:lang w:val="fr-FR"/>
        </w:rPr>
        <w:t>’</w:t>
      </w:r>
      <w:r w:rsidRPr="00B94E33">
        <w:rPr>
          <w:lang w:val="fr-FR"/>
        </w:rPr>
        <w:t>expiration dudit délai et jusqu</w:t>
      </w:r>
      <w:r w:rsidR="00B94E33" w:rsidRPr="00B94E33">
        <w:rPr>
          <w:lang w:val="fr-FR"/>
        </w:rPr>
        <w:t>’</w:t>
      </w:r>
      <w:r w:rsidRPr="00B94E33">
        <w:rPr>
          <w:lang w:val="fr-FR"/>
        </w:rPr>
        <w:t>au versement, ces montants seront à majorer d</w:t>
      </w:r>
      <w:r w:rsidR="00B94E33" w:rsidRPr="00B94E33">
        <w:rPr>
          <w:lang w:val="fr-FR"/>
        </w:rPr>
        <w:t>’</w:t>
      </w:r>
      <w:r w:rsidRPr="00B94E33">
        <w:rPr>
          <w:lang w:val="fr-FR"/>
        </w:rPr>
        <w:t>un intérêt simple à un taux égal à celui de la facilité de prêt marginal de la Banque centrale européenne applicable pendant cette période, augmenté de trois points de pourcentage ;</w:t>
      </w:r>
    </w:p>
    <w:p w:rsidR="00E77CB3" w:rsidRPr="00B94E33" w:rsidRDefault="00E77CB3" w:rsidP="00B94E33">
      <w:pPr>
        <w:pStyle w:val="JuLista"/>
        <w:rPr>
          <w:lang w:val="fr-FR"/>
        </w:rPr>
      </w:pPr>
    </w:p>
    <w:p w:rsidR="00E77CB3" w:rsidRPr="00B94E33" w:rsidRDefault="000E1D57" w:rsidP="00B94E33">
      <w:pPr>
        <w:pStyle w:val="JuList"/>
        <w:rPr>
          <w:lang w:val="fr-FR"/>
        </w:rPr>
      </w:pPr>
      <w:r w:rsidRPr="00B94E33">
        <w:rPr>
          <w:lang w:val="fr-FR"/>
        </w:rPr>
        <w:t>8</w:t>
      </w:r>
      <w:r w:rsidR="00E77CB3" w:rsidRPr="00B94E33">
        <w:rPr>
          <w:lang w:val="fr-FR"/>
        </w:rPr>
        <w:t>.  </w:t>
      </w:r>
      <w:r w:rsidR="00E77CB3" w:rsidRPr="00B94E33">
        <w:rPr>
          <w:i/>
          <w:lang w:val="fr-FR"/>
        </w:rPr>
        <w:t>Rejette</w:t>
      </w:r>
      <w:r w:rsidR="00DA02C2" w:rsidRPr="00B94E33">
        <w:rPr>
          <w:lang w:val="fr-FR"/>
        </w:rPr>
        <w:t>, à l</w:t>
      </w:r>
      <w:r w:rsidR="00B94E33" w:rsidRPr="00B94E33">
        <w:rPr>
          <w:lang w:val="fr-FR"/>
        </w:rPr>
        <w:t>’</w:t>
      </w:r>
      <w:r w:rsidR="00DA02C2" w:rsidRPr="00B94E33">
        <w:rPr>
          <w:lang w:val="fr-FR"/>
        </w:rPr>
        <w:t xml:space="preserve">unanimité, </w:t>
      </w:r>
      <w:r w:rsidR="00E77CB3" w:rsidRPr="00B94E33">
        <w:rPr>
          <w:lang w:val="fr-FR"/>
        </w:rPr>
        <w:t>la demande de satisfaction équitable pour le surplus.</w:t>
      </w:r>
    </w:p>
    <w:p w:rsidR="00E77CB3" w:rsidRPr="00B94E33" w:rsidRDefault="00E77CB3" w:rsidP="00B94E33">
      <w:pPr>
        <w:pStyle w:val="JuParaLast"/>
        <w:rPr>
          <w:lang w:val="fr-FR"/>
        </w:rPr>
      </w:pPr>
      <w:r w:rsidRPr="00B94E33">
        <w:rPr>
          <w:lang w:val="fr-FR"/>
        </w:rPr>
        <w:t>Fait en français, puis communiqué par écrit le</w:t>
      </w:r>
      <w:r w:rsidR="00EE7A59" w:rsidRPr="00B94E33">
        <w:rPr>
          <w:lang w:val="fr-FR"/>
        </w:rPr>
        <w:t xml:space="preserve"> </w:t>
      </w:r>
      <w:r w:rsidR="001B6359" w:rsidRPr="00B94E33">
        <w:rPr>
          <w:lang w:val="fr-FR"/>
        </w:rPr>
        <w:t>2 mars 2017</w:t>
      </w:r>
      <w:r w:rsidRPr="00B94E33">
        <w:rPr>
          <w:lang w:val="fr-FR"/>
        </w:rPr>
        <w:t>, en application de l</w:t>
      </w:r>
      <w:r w:rsidR="00B94E33" w:rsidRPr="00B94E33">
        <w:rPr>
          <w:lang w:val="fr-FR"/>
        </w:rPr>
        <w:t>’</w:t>
      </w:r>
      <w:r w:rsidRPr="00B94E33">
        <w:rPr>
          <w:lang w:val="fr-FR"/>
        </w:rPr>
        <w:t>article 77 §§ 2 et 3 du règlement</w:t>
      </w:r>
      <w:r w:rsidR="00AC0824" w:rsidRPr="00B94E33">
        <w:rPr>
          <w:lang w:val="fr-FR"/>
        </w:rPr>
        <w:t xml:space="preserve"> de la Cour</w:t>
      </w:r>
      <w:r w:rsidRPr="00B94E33">
        <w:rPr>
          <w:lang w:val="fr-FR"/>
        </w:rPr>
        <w:t>.</w:t>
      </w:r>
    </w:p>
    <w:p w:rsidR="00E77CB3" w:rsidRPr="00B94E33" w:rsidRDefault="00DA02C2" w:rsidP="00B94E33">
      <w:pPr>
        <w:pStyle w:val="JuSigned"/>
        <w:rPr>
          <w:lang w:val="fr-FR"/>
        </w:rPr>
      </w:pPr>
      <w:r w:rsidRPr="00B94E33">
        <w:rPr>
          <w:lang w:val="fr-FR"/>
        </w:rPr>
        <w:tab/>
        <w:t>Abel Campos</w:t>
      </w:r>
      <w:r w:rsidR="00E77CB3" w:rsidRPr="00B94E33">
        <w:rPr>
          <w:lang w:val="fr-FR"/>
        </w:rPr>
        <w:tab/>
      </w:r>
      <w:r w:rsidRPr="00B94E33">
        <w:rPr>
          <w:lang w:val="fr-FR"/>
        </w:rPr>
        <w:t>Mirjana Lazarova Trajkovska</w:t>
      </w:r>
      <w:r w:rsidR="00723296" w:rsidRPr="00B94E33">
        <w:rPr>
          <w:lang w:val="fr-FR"/>
        </w:rPr>
        <w:br/>
      </w:r>
      <w:r w:rsidR="00E77CB3" w:rsidRPr="00B94E33">
        <w:rPr>
          <w:lang w:val="fr-FR"/>
        </w:rPr>
        <w:tab/>
      </w:r>
      <w:r w:rsidRPr="00B94E33">
        <w:rPr>
          <w:lang w:val="fr-FR"/>
        </w:rPr>
        <w:t>Greffier</w:t>
      </w:r>
      <w:r w:rsidR="00E77CB3" w:rsidRPr="00B94E33">
        <w:rPr>
          <w:lang w:val="fr-FR"/>
        </w:rPr>
        <w:tab/>
      </w:r>
      <w:r w:rsidRPr="00B94E33">
        <w:rPr>
          <w:lang w:val="fr-FR"/>
        </w:rPr>
        <w:t>Présidente</w:t>
      </w:r>
    </w:p>
    <w:p w:rsidR="000F6C46" w:rsidRPr="00B94E33" w:rsidRDefault="000F6C46" w:rsidP="00B94E33">
      <w:pPr>
        <w:pStyle w:val="JuParaLast"/>
        <w:rPr>
          <w:lang w:val="fr-FR"/>
        </w:rPr>
      </w:pPr>
      <w:r w:rsidRPr="00B94E33">
        <w:rPr>
          <w:lang w:val="fr-FR"/>
        </w:rPr>
        <w:t>Au présent arrêt se trouve joint, conformément aux articles 45 § 2 de la Convention et 74 § 2 du règlement, l</w:t>
      </w:r>
      <w:r w:rsidR="00B94E33" w:rsidRPr="00B94E33">
        <w:rPr>
          <w:lang w:val="fr-FR"/>
        </w:rPr>
        <w:t>’</w:t>
      </w:r>
      <w:r w:rsidRPr="00B94E33">
        <w:rPr>
          <w:lang w:val="fr-FR"/>
        </w:rPr>
        <w:t>exposé des opinions séparées suivantes :</w:t>
      </w:r>
    </w:p>
    <w:p w:rsidR="000F6C46" w:rsidRPr="00B94E33" w:rsidRDefault="000F6C46" w:rsidP="00B94E33">
      <w:pPr>
        <w:pStyle w:val="ECHRPara"/>
        <w:rPr>
          <w:lang w:val="fr-FR"/>
        </w:rPr>
      </w:pPr>
      <w:r w:rsidRPr="00B94E33">
        <w:rPr>
          <w:lang w:val="fr-FR"/>
        </w:rPr>
        <w:t xml:space="preserve">–  opinion </w:t>
      </w:r>
      <w:r w:rsidR="00713619" w:rsidRPr="00B94E33">
        <w:rPr>
          <w:lang w:val="fr-FR"/>
        </w:rPr>
        <w:t>en partie concordante</w:t>
      </w:r>
      <w:r w:rsidR="00235E61" w:rsidRPr="00B94E33">
        <w:rPr>
          <w:lang w:val="fr-FR"/>
        </w:rPr>
        <w:t>,</w:t>
      </w:r>
      <w:r w:rsidR="00713619" w:rsidRPr="00B94E33">
        <w:rPr>
          <w:lang w:val="fr-FR"/>
        </w:rPr>
        <w:t xml:space="preserve"> en partie dissidente du juge Eicke ;</w:t>
      </w:r>
    </w:p>
    <w:p w:rsidR="000F6C46" w:rsidRPr="00B94E33" w:rsidRDefault="000F6C46" w:rsidP="00B94E33">
      <w:pPr>
        <w:pStyle w:val="ECHRPara"/>
        <w:rPr>
          <w:lang w:val="fr-FR"/>
        </w:rPr>
      </w:pPr>
      <w:r w:rsidRPr="00B94E33">
        <w:rPr>
          <w:lang w:val="fr-FR"/>
        </w:rPr>
        <w:t xml:space="preserve">–  opinion </w:t>
      </w:r>
      <w:r w:rsidR="00713619" w:rsidRPr="00B94E33">
        <w:rPr>
          <w:lang w:val="fr-FR"/>
        </w:rPr>
        <w:t>en partie dissidente du juge Spano.</w:t>
      </w:r>
    </w:p>
    <w:p w:rsidR="004D15F3" w:rsidRPr="00B94E33" w:rsidRDefault="00713619" w:rsidP="00B94E33">
      <w:pPr>
        <w:pStyle w:val="JuInitialled"/>
      </w:pPr>
      <w:r w:rsidRPr="00B94E33">
        <w:t>M.L.</w:t>
      </w:r>
      <w:r w:rsidR="0064486E" w:rsidRPr="00B94E33">
        <w:t>T</w:t>
      </w:r>
      <w:r w:rsidRPr="00B94E33">
        <w:t>.</w:t>
      </w:r>
      <w:r w:rsidR="000F6C46" w:rsidRPr="00B94E33">
        <w:br/>
      </w:r>
      <w:r w:rsidRPr="00B94E33">
        <w:t>A.C.</w:t>
      </w:r>
    </w:p>
    <w:p w:rsidR="00713619" w:rsidRPr="00B94E33" w:rsidRDefault="00713619" w:rsidP="00B94E33">
      <w:pPr>
        <w:jc w:val="left"/>
        <w:sectPr w:rsidR="00713619" w:rsidRPr="00B94E33" w:rsidSect="008743BB">
          <w:headerReference w:type="even" r:id="rId42"/>
          <w:headerReference w:type="default" r:id="rId43"/>
          <w:footnotePr>
            <w:numRestart w:val="eachSect"/>
          </w:footnotePr>
          <w:pgSz w:w="11906" w:h="16838" w:code="9"/>
          <w:pgMar w:top="2274" w:right="2274" w:bottom="2274" w:left="2274" w:header="1701" w:footer="720" w:gutter="0"/>
          <w:pgNumType w:start="1"/>
          <w:cols w:space="720"/>
          <w:docGrid w:linePitch="326"/>
        </w:sectPr>
      </w:pPr>
    </w:p>
    <w:p w:rsidR="00A411D1" w:rsidRPr="00B94E33" w:rsidRDefault="00A411D1" w:rsidP="00B94E33">
      <w:pPr>
        <w:pStyle w:val="ECHRTitleCentre1"/>
      </w:pPr>
      <w:r w:rsidRPr="00B94E33">
        <w:lastRenderedPageBreak/>
        <w:t>P</w:t>
      </w:r>
      <w:r w:rsidR="00235E61" w:rsidRPr="00B94E33">
        <w:t>ARTLY</w:t>
      </w:r>
      <w:r w:rsidRPr="00B94E33">
        <w:t xml:space="preserve"> </w:t>
      </w:r>
      <w:r w:rsidR="00235E61" w:rsidRPr="00B94E33">
        <w:t>CONCURRING</w:t>
      </w:r>
      <w:r w:rsidRPr="00B94E33">
        <w:t xml:space="preserve">, </w:t>
      </w:r>
      <w:r w:rsidR="00235E61" w:rsidRPr="00B94E33">
        <w:t>PARTLY</w:t>
      </w:r>
      <w:r w:rsidRPr="00B94E33">
        <w:t xml:space="preserve"> </w:t>
      </w:r>
      <w:r w:rsidR="00235E61" w:rsidRPr="00B94E33">
        <w:t>DISSENTING</w:t>
      </w:r>
      <w:r w:rsidRPr="00B94E33">
        <w:t xml:space="preserve"> O</w:t>
      </w:r>
      <w:r w:rsidR="00235E61" w:rsidRPr="00B94E33">
        <w:t>PINION</w:t>
      </w:r>
      <w:r w:rsidRPr="00B94E33">
        <w:t xml:space="preserve"> </w:t>
      </w:r>
      <w:r w:rsidR="00235E61" w:rsidRPr="00B94E33">
        <w:t>OF</w:t>
      </w:r>
      <w:r w:rsidRPr="00B94E33">
        <w:t xml:space="preserve"> J</w:t>
      </w:r>
      <w:r w:rsidR="00235E61" w:rsidRPr="00B94E33">
        <w:t>UDGE</w:t>
      </w:r>
      <w:r w:rsidRPr="00B94E33">
        <w:t xml:space="preserve"> E</w:t>
      </w:r>
      <w:r w:rsidR="00235E61" w:rsidRPr="00B94E33">
        <w:t>ICKE</w:t>
      </w:r>
    </w:p>
    <w:p w:rsidR="00A411D1" w:rsidRPr="00B94E33" w:rsidRDefault="00A411D1" w:rsidP="00B94E33">
      <w:pPr>
        <w:pStyle w:val="OpiHA0"/>
        <w:rPr>
          <w:rFonts w:eastAsia="Calibri"/>
        </w:rPr>
      </w:pPr>
      <w:r w:rsidRPr="00B94E33">
        <w:rPr>
          <w:rFonts w:eastAsia="Calibri"/>
        </w:rPr>
        <w:t>I.</w:t>
      </w:r>
      <w:r w:rsidR="00E34196" w:rsidRPr="00B94E33">
        <w:rPr>
          <w:rFonts w:eastAsia="Calibri"/>
        </w:rPr>
        <w:t>  </w:t>
      </w:r>
      <w:r w:rsidRPr="00B94E33">
        <w:rPr>
          <w:rFonts w:eastAsia="Calibri"/>
        </w:rPr>
        <w:t>Article 2 and/or 3 of the Convention</w:t>
      </w:r>
    </w:p>
    <w:p w:rsidR="00A411D1" w:rsidRPr="00B94E33" w:rsidRDefault="00633B26" w:rsidP="00B94E33">
      <w:pPr>
        <w:pStyle w:val="OpiPara"/>
        <w:rPr>
          <w:rFonts w:eastAsia="Calibri"/>
        </w:rPr>
      </w:pPr>
      <w:r w:rsidRPr="00B94E33">
        <w:rPr>
          <w:rFonts w:eastAsia="Calibri"/>
        </w:rPr>
        <w:t>1.  </w:t>
      </w:r>
      <w:r w:rsidR="00A411D1" w:rsidRPr="00B94E33">
        <w:rPr>
          <w:rFonts w:eastAsia="Calibri"/>
        </w:rPr>
        <w:t xml:space="preserve">Having had the opportunity to read, in draft, the Partly Dissenting Opinion of Judge Spano in this Case, I agree with his expression of the applicable principles (as derived from </w:t>
      </w:r>
      <w:r w:rsidR="00A411D1" w:rsidRPr="00B94E33">
        <w:rPr>
          <w:rFonts w:eastAsia="Calibri"/>
          <w:i/>
        </w:rPr>
        <w:t>Opuz v. Turkey</w:t>
      </w:r>
      <w:r w:rsidR="00A411D1" w:rsidRPr="00B94E33">
        <w:rPr>
          <w:rFonts w:eastAsia="Calibri"/>
        </w:rPr>
        <w:t xml:space="preserve">, no. 33401/02, ECHR 2009, and </w:t>
      </w:r>
      <w:r w:rsidR="00A411D1" w:rsidRPr="00B94E33">
        <w:rPr>
          <w:rFonts w:eastAsia="Calibri"/>
          <w:i/>
        </w:rPr>
        <w:t>Osman v. the United Kingdom</w:t>
      </w:r>
      <w:r w:rsidR="00A411D1" w:rsidRPr="00B94E33">
        <w:rPr>
          <w:rFonts w:eastAsia="Calibri"/>
        </w:rPr>
        <w:t>, 28 October 1998, Reports 1998-VIII), as well as the identification of the two questions to be answered concerning the “immediacy of the risk” and “reality of the risk”: see Sections I and II of that Partly Dissenting Opinion. However, unlike him and not without considerable hesitation, I have reached a different conclusion on the application of those principles to the facts in the present case and have voted for a finding of a violation of Articles 2 and 3.</w:t>
      </w:r>
    </w:p>
    <w:p w:rsidR="00A411D1" w:rsidRPr="00B94E33" w:rsidRDefault="00633B26" w:rsidP="00B94E33">
      <w:pPr>
        <w:pStyle w:val="OpiPara"/>
        <w:rPr>
          <w:rFonts w:eastAsia="Calibri"/>
        </w:rPr>
      </w:pPr>
      <w:r w:rsidRPr="00B94E33">
        <w:rPr>
          <w:rFonts w:eastAsia="Calibri"/>
        </w:rPr>
        <w:t>2.  </w:t>
      </w:r>
      <w:r w:rsidR="00A411D1" w:rsidRPr="00B94E33">
        <w:rPr>
          <w:rFonts w:eastAsia="Calibri"/>
        </w:rPr>
        <w:t xml:space="preserve">In relation to the question of </w:t>
      </w:r>
      <w:r w:rsidR="00A411D1" w:rsidRPr="00B94E33">
        <w:rPr>
          <w:rFonts w:eastAsia="Calibri"/>
          <w:i/>
        </w:rPr>
        <w:t>immediacy of the risk</w:t>
      </w:r>
      <w:r w:rsidR="00A411D1" w:rsidRPr="00B94E33">
        <w:rPr>
          <w:rFonts w:eastAsia="Calibri"/>
        </w:rPr>
        <w:t xml:space="preserve"> Judge Spano focusses on the “lapses of time” between the initial incidents culminating in the lodging of her complaint on 5 September 2012 and the time of the tragic events of 25 November 2013. He concludes that these lapses “challenge the possibilities of imminence of risk in this case” (§ 5). However, from the point of view of the relevant “agents of the State” to whom an imminent real risk must have been reasonably foreseeable, the evidence suggests that there were a number of relevant events during that period of time running right up to the end of 2013. These include:</w:t>
      </w:r>
    </w:p>
    <w:p w:rsidR="00A411D1" w:rsidRPr="00B94E33" w:rsidRDefault="00960867" w:rsidP="00B94E33">
      <w:pPr>
        <w:pStyle w:val="OpiParaSub"/>
        <w:rPr>
          <w:rFonts w:eastAsia="Calibri"/>
        </w:rPr>
      </w:pPr>
      <w:r w:rsidRPr="00B94E33">
        <w:rPr>
          <w:rFonts w:eastAsia="Calibri"/>
        </w:rPr>
        <w:t>a.  </w:t>
      </w:r>
      <w:r w:rsidR="00A411D1" w:rsidRPr="00B94E33">
        <w:rPr>
          <w:rFonts w:eastAsia="Calibri"/>
        </w:rPr>
        <w:t>19 August 2012 to 4 December 2012, following the second alleged attack on the Applicant by her husband (potentially involving the use of a switch blade) and with the support and knowledge of the police and local social services, the Applicant resided at a shelter run by an association for the protection of women who have been victims of domestic violence (§§</w:t>
      </w:r>
      <w:r w:rsidR="001F016F" w:rsidRPr="00B94E33">
        <w:rPr>
          <w:rFonts w:eastAsia="Calibri"/>
        </w:rPr>
        <w:t> </w:t>
      </w:r>
      <w:r w:rsidR="00A411D1" w:rsidRPr="00B94E33">
        <w:rPr>
          <w:rFonts w:eastAsia="Calibri"/>
        </w:rPr>
        <w:t>18-19 and 27);</w:t>
      </w:r>
    </w:p>
    <w:p w:rsidR="00A411D1" w:rsidRPr="00B94E33" w:rsidRDefault="00960867" w:rsidP="00B94E33">
      <w:pPr>
        <w:pStyle w:val="OpiParaSub"/>
        <w:rPr>
          <w:rFonts w:eastAsia="Calibri"/>
        </w:rPr>
      </w:pPr>
      <w:r w:rsidRPr="00B94E33">
        <w:rPr>
          <w:rFonts w:eastAsia="Calibri"/>
        </w:rPr>
        <w:t>b.  </w:t>
      </w:r>
      <w:r w:rsidR="00A411D1" w:rsidRPr="00B94E33">
        <w:rPr>
          <w:rFonts w:eastAsia="Calibri"/>
        </w:rPr>
        <w:t>The Applicant</w:t>
      </w:r>
      <w:r w:rsidR="00B94E33" w:rsidRPr="00B94E33">
        <w:rPr>
          <w:rFonts w:eastAsia="Calibri"/>
        </w:rPr>
        <w:t>’</w:t>
      </w:r>
      <w:r w:rsidR="00A411D1" w:rsidRPr="00B94E33">
        <w:rPr>
          <w:rFonts w:eastAsia="Calibri"/>
        </w:rPr>
        <w:t>s criminal complaint of 5 September 2012 was transmitted to the competent judicial authorities together with a request for the adoption of preventive measures aimed at protecting the Applicant;</w:t>
      </w:r>
    </w:p>
    <w:p w:rsidR="00A411D1" w:rsidRPr="00B94E33" w:rsidRDefault="00960867" w:rsidP="00B94E33">
      <w:pPr>
        <w:pStyle w:val="OpiParaSub"/>
        <w:rPr>
          <w:rFonts w:eastAsia="Calibri"/>
        </w:rPr>
      </w:pPr>
      <w:r w:rsidRPr="00B94E33">
        <w:rPr>
          <w:rFonts w:eastAsia="Calibri"/>
        </w:rPr>
        <w:t>c.  </w:t>
      </w:r>
      <w:r w:rsidR="00A411D1" w:rsidRPr="00B94E33">
        <w:rPr>
          <w:rFonts w:eastAsia="Calibri"/>
        </w:rPr>
        <w:t>18 March 2013, the prosecutor, noting that, despite his orders of 15</w:t>
      </w:r>
      <w:r w:rsidR="001F016F" w:rsidRPr="00B94E33">
        <w:rPr>
          <w:rFonts w:eastAsia="Calibri"/>
        </w:rPr>
        <w:t> </w:t>
      </w:r>
      <w:r w:rsidR="00A411D1" w:rsidRPr="00B94E33">
        <w:rPr>
          <w:rFonts w:eastAsia="Calibri"/>
        </w:rPr>
        <w:t>October 2012 that investigative measures be taken urgently, none of the investigations had been concluded, again ordered the police to investigate the Applicant</w:t>
      </w:r>
      <w:r w:rsidR="00B94E33" w:rsidRPr="00B94E33">
        <w:rPr>
          <w:rFonts w:eastAsia="Calibri"/>
        </w:rPr>
        <w:t>’</w:t>
      </w:r>
      <w:r w:rsidR="00A411D1" w:rsidRPr="00B94E33">
        <w:rPr>
          <w:rFonts w:eastAsia="Calibri"/>
        </w:rPr>
        <w:t>s complaints as soon as possible (§ 29);</w:t>
      </w:r>
    </w:p>
    <w:p w:rsidR="00A411D1" w:rsidRPr="00B94E33" w:rsidRDefault="00960867" w:rsidP="00B94E33">
      <w:pPr>
        <w:pStyle w:val="OpiParaSub"/>
        <w:rPr>
          <w:rFonts w:eastAsia="Calibri"/>
        </w:rPr>
      </w:pPr>
      <w:r w:rsidRPr="00B94E33">
        <w:rPr>
          <w:rFonts w:eastAsia="Calibri"/>
        </w:rPr>
        <w:t>d.  </w:t>
      </w:r>
      <w:r w:rsidR="00A411D1" w:rsidRPr="00B94E33">
        <w:rPr>
          <w:rFonts w:eastAsia="Calibri"/>
        </w:rPr>
        <w:t>4 April 2013, the Applicant was interviewed for the first time by the police (§ 30). While the Applicant, at this interview, modified her initial allegations, it is said as a result of psychological pressure by her husband (not an uncommon phenomenon in the context of domestic violence), she nevertheless confirmed that her husband</w:t>
      </w:r>
      <w:r w:rsidR="00B94E33" w:rsidRPr="00B94E33">
        <w:rPr>
          <w:rFonts w:eastAsia="Calibri"/>
        </w:rPr>
        <w:t>’</w:t>
      </w:r>
      <w:r w:rsidR="00A411D1" w:rsidRPr="00B94E33">
        <w:rPr>
          <w:rFonts w:eastAsia="Calibri"/>
        </w:rPr>
        <w:t>s alcoholism was at the heart of any problems there might have been at home</w:t>
      </w:r>
      <w:r w:rsidR="001F016F" w:rsidRPr="00B94E33">
        <w:rPr>
          <w:rFonts w:eastAsia="Calibri"/>
        </w:rPr>
        <w:t>;</w:t>
      </w:r>
    </w:p>
    <w:p w:rsidR="00A411D1" w:rsidRPr="00B94E33" w:rsidRDefault="00960867" w:rsidP="00B94E33">
      <w:pPr>
        <w:pStyle w:val="OpiParaSub"/>
        <w:rPr>
          <w:rFonts w:eastAsia="Calibri"/>
        </w:rPr>
      </w:pPr>
      <w:r w:rsidRPr="00B94E33">
        <w:rPr>
          <w:rFonts w:eastAsia="Calibri"/>
        </w:rPr>
        <w:lastRenderedPageBreak/>
        <w:t>e.  </w:t>
      </w:r>
      <w:r w:rsidR="00A411D1" w:rsidRPr="00B94E33">
        <w:rPr>
          <w:rFonts w:eastAsia="Calibri"/>
        </w:rPr>
        <w:t>30 May 2013, the public prosecutor invited the preliminary investigations judge to close the investigation into the offence of domestic abuse but to maintain the investigation against the Applicant</w:t>
      </w:r>
      <w:r w:rsidR="00B94E33" w:rsidRPr="00B94E33">
        <w:rPr>
          <w:rFonts w:eastAsia="Calibri"/>
        </w:rPr>
        <w:t>’</w:t>
      </w:r>
      <w:r w:rsidR="00A411D1" w:rsidRPr="00B94E33">
        <w:rPr>
          <w:rFonts w:eastAsia="Calibri"/>
        </w:rPr>
        <w:t>s husband for grievous bodily harm against the Applicant (§ 32);</w:t>
      </w:r>
    </w:p>
    <w:p w:rsidR="00A411D1" w:rsidRPr="00B94E33" w:rsidRDefault="00960867" w:rsidP="00B94E33">
      <w:pPr>
        <w:pStyle w:val="OpiParaSub"/>
        <w:rPr>
          <w:rFonts w:eastAsia="Calibri"/>
        </w:rPr>
      </w:pPr>
      <w:r w:rsidRPr="00B94E33">
        <w:rPr>
          <w:rFonts w:eastAsia="Calibri"/>
        </w:rPr>
        <w:t>f.  </w:t>
      </w:r>
      <w:r w:rsidR="00A411D1" w:rsidRPr="00B94E33">
        <w:rPr>
          <w:rFonts w:eastAsia="Calibri"/>
        </w:rPr>
        <w:t>1 August 2013, the preliminary investigations judge closed the investigations into the offence of domestic abuse but referred the charge of causing bodily harm to the Justice of the Peace (§§</w:t>
      </w:r>
      <w:r w:rsidR="001F016F" w:rsidRPr="00B94E33">
        <w:rPr>
          <w:rFonts w:eastAsia="Calibri"/>
        </w:rPr>
        <w:t xml:space="preserve"> </w:t>
      </w:r>
      <w:r w:rsidR="00A411D1" w:rsidRPr="00B94E33">
        <w:rPr>
          <w:rFonts w:eastAsia="Calibri"/>
        </w:rPr>
        <w:t>33-34);</w:t>
      </w:r>
    </w:p>
    <w:p w:rsidR="00A411D1" w:rsidRPr="00B94E33" w:rsidRDefault="00960867" w:rsidP="00B94E33">
      <w:pPr>
        <w:pStyle w:val="OpiParaSub"/>
        <w:rPr>
          <w:rFonts w:eastAsia="Calibri"/>
        </w:rPr>
      </w:pPr>
      <w:r w:rsidRPr="00B94E33">
        <w:rPr>
          <w:rFonts w:eastAsia="Calibri"/>
        </w:rPr>
        <w:t>g.  </w:t>
      </w:r>
      <w:r w:rsidR="00A411D1" w:rsidRPr="00B94E33">
        <w:rPr>
          <w:rFonts w:eastAsia="Calibri"/>
        </w:rPr>
        <w:t>28 October 2013, the Applicant</w:t>
      </w:r>
      <w:r w:rsidR="00B94E33" w:rsidRPr="00B94E33">
        <w:rPr>
          <w:rFonts w:eastAsia="Calibri"/>
        </w:rPr>
        <w:t>’</w:t>
      </w:r>
      <w:r w:rsidR="00A411D1" w:rsidRPr="00B94E33">
        <w:rPr>
          <w:rFonts w:eastAsia="Calibri"/>
        </w:rPr>
        <w:t>s husband was committed for trial by the Justice of the Peace for causing bodily harm (with the first hearing fixed for 13 February 2014) (§</w:t>
      </w:r>
      <w:r w:rsidR="001F016F" w:rsidRPr="00B94E33">
        <w:rPr>
          <w:rFonts w:eastAsia="Calibri"/>
        </w:rPr>
        <w:t xml:space="preserve"> </w:t>
      </w:r>
      <w:r w:rsidR="00A411D1" w:rsidRPr="00B94E33">
        <w:rPr>
          <w:rFonts w:eastAsia="Calibri"/>
        </w:rPr>
        <w:t>35);</w:t>
      </w:r>
    </w:p>
    <w:p w:rsidR="00A411D1" w:rsidRPr="00B94E33" w:rsidRDefault="00960867" w:rsidP="00B94E33">
      <w:pPr>
        <w:pStyle w:val="OpiParaSub"/>
        <w:rPr>
          <w:rFonts w:eastAsia="Calibri"/>
        </w:rPr>
      </w:pPr>
      <w:r w:rsidRPr="00B94E33">
        <w:rPr>
          <w:rFonts w:eastAsia="Calibri"/>
        </w:rPr>
        <w:t>h.  </w:t>
      </w:r>
      <w:r w:rsidR="00A411D1" w:rsidRPr="00B94E33">
        <w:rPr>
          <w:rFonts w:eastAsia="Calibri"/>
        </w:rPr>
        <w:t>18 November 2013, the Applicant</w:t>
      </w:r>
      <w:r w:rsidR="00B94E33" w:rsidRPr="00B94E33">
        <w:rPr>
          <w:rFonts w:eastAsia="Calibri"/>
        </w:rPr>
        <w:t>’</w:t>
      </w:r>
      <w:r w:rsidR="00A411D1" w:rsidRPr="00B94E33">
        <w:rPr>
          <w:rFonts w:eastAsia="Calibri"/>
        </w:rPr>
        <w:t>s husband was notified of his trial date (19 May 2014) in relation to the attack on the Applicant of August 2012 (§ 36); and, finally</w:t>
      </w:r>
    </w:p>
    <w:p w:rsidR="00A411D1" w:rsidRPr="00B94E33" w:rsidRDefault="00960867" w:rsidP="00B94E33">
      <w:pPr>
        <w:pStyle w:val="OpiParaSub"/>
        <w:rPr>
          <w:rFonts w:eastAsia="Calibri"/>
        </w:rPr>
      </w:pPr>
      <w:r w:rsidRPr="00B94E33">
        <w:rPr>
          <w:rFonts w:eastAsia="Calibri"/>
        </w:rPr>
        <w:t>i.  </w:t>
      </w:r>
      <w:r w:rsidR="00A411D1" w:rsidRPr="00B94E33">
        <w:rPr>
          <w:rFonts w:eastAsia="Calibri"/>
        </w:rPr>
        <w:t>At an unspecified date in November 2013, the public prosecutor reopened the investigation against the Applicant</w:t>
      </w:r>
      <w:r w:rsidR="00B94E33" w:rsidRPr="00B94E33">
        <w:rPr>
          <w:rFonts w:eastAsia="Calibri"/>
        </w:rPr>
        <w:t>’</w:t>
      </w:r>
      <w:r w:rsidR="00A411D1" w:rsidRPr="00B94E33">
        <w:rPr>
          <w:rFonts w:eastAsia="Calibri"/>
        </w:rPr>
        <w:t>s husband for the physical abuse of his wife (§ 44).</w:t>
      </w:r>
    </w:p>
    <w:p w:rsidR="009A4363" w:rsidRPr="00B94E33" w:rsidRDefault="00633B26" w:rsidP="00B94E33">
      <w:pPr>
        <w:pStyle w:val="OpiPara"/>
        <w:rPr>
          <w:rFonts w:eastAsia="Calibri"/>
        </w:rPr>
      </w:pPr>
      <w:r w:rsidRPr="00B94E33">
        <w:rPr>
          <w:rFonts w:eastAsia="Calibri"/>
        </w:rPr>
        <w:t>3.  </w:t>
      </w:r>
      <w:r w:rsidR="00A411D1" w:rsidRPr="00B94E33">
        <w:rPr>
          <w:rFonts w:eastAsia="Calibri"/>
        </w:rPr>
        <w:t>Taken together with the facts of the initial attacks on the Applicant by her husband (in June and August 2012), as recorded by the police, and the fact that both were apparently connected to (if not caused by) the husband</w:t>
      </w:r>
      <w:r w:rsidR="00B94E33" w:rsidRPr="00B94E33">
        <w:rPr>
          <w:rFonts w:eastAsia="Calibri"/>
        </w:rPr>
        <w:t>’</w:t>
      </w:r>
      <w:r w:rsidR="00A411D1" w:rsidRPr="00B94E33">
        <w:rPr>
          <w:rFonts w:eastAsia="Calibri"/>
        </w:rPr>
        <w:t>s alcohol abuse, it appears to me not unreasonable to work on the basis that the police was or should have been aware that (a) the Applicant</w:t>
      </w:r>
      <w:r w:rsidR="00B94E33" w:rsidRPr="00B94E33">
        <w:rPr>
          <w:rFonts w:eastAsia="Calibri"/>
        </w:rPr>
        <w:t>’</w:t>
      </w:r>
      <w:r w:rsidR="00A411D1" w:rsidRPr="00B94E33">
        <w:rPr>
          <w:rFonts w:eastAsia="Calibri"/>
        </w:rPr>
        <w:t>s husband had been and was again under investigation for repeated incidents of domestic abuse against the Applicant, (b) had been charged with causing physical harm to the Applicant in two separate instances, with trial dates notified on 28 October 2013 and 18 November 2013 (a week before the tragic events of 25 November 2013), and (c) the attacks in relation which the husband was subject to investigation and/or charge had occurred when the husband was severely drunk (if not as a result of his alcohol abuse).</w:t>
      </w:r>
    </w:p>
    <w:p w:rsidR="009A4363" w:rsidRPr="00B94E33" w:rsidRDefault="00633B26" w:rsidP="00B94E33">
      <w:pPr>
        <w:pStyle w:val="OpiPara"/>
        <w:rPr>
          <w:rFonts w:eastAsia="Calibri"/>
        </w:rPr>
      </w:pPr>
      <w:r w:rsidRPr="00B94E33">
        <w:rPr>
          <w:rFonts w:eastAsia="Calibri"/>
        </w:rPr>
        <w:t>4.  </w:t>
      </w:r>
      <w:r w:rsidR="00A411D1" w:rsidRPr="00B94E33">
        <w:rPr>
          <w:rFonts w:eastAsia="Calibri"/>
        </w:rPr>
        <w:t>It is with this in mind that one then has to look at the events of 24 and 25 November 2013.</w:t>
      </w:r>
    </w:p>
    <w:p w:rsidR="00A411D1" w:rsidRPr="00B94E33" w:rsidRDefault="00633B26" w:rsidP="00B94E33">
      <w:pPr>
        <w:pStyle w:val="OpiPara"/>
        <w:rPr>
          <w:rFonts w:eastAsia="Calibri"/>
        </w:rPr>
      </w:pPr>
      <w:r w:rsidRPr="00B94E33">
        <w:rPr>
          <w:rFonts w:eastAsia="Calibri"/>
        </w:rPr>
        <w:t>5.  </w:t>
      </w:r>
      <w:r w:rsidR="00A411D1" w:rsidRPr="00B94E33">
        <w:rPr>
          <w:rFonts w:eastAsia="Calibri"/>
        </w:rPr>
        <w:t>The judgment, at § 38, explains that, on the evidence, the police recorded that when they arrived at the Applicant</w:t>
      </w:r>
      <w:r w:rsidR="00B94E33" w:rsidRPr="00B94E33">
        <w:rPr>
          <w:rFonts w:eastAsia="Calibri"/>
        </w:rPr>
        <w:t>’</w:t>
      </w:r>
      <w:r w:rsidR="00A411D1" w:rsidRPr="00B94E33">
        <w:rPr>
          <w:rFonts w:eastAsia="Calibri"/>
        </w:rPr>
        <w:t>s home (one assumes on 24</w:t>
      </w:r>
      <w:r w:rsidR="001F016F" w:rsidRPr="00B94E33">
        <w:rPr>
          <w:rFonts w:eastAsia="Calibri"/>
        </w:rPr>
        <w:t> </w:t>
      </w:r>
      <w:r w:rsidR="00A411D1" w:rsidRPr="00B94E33">
        <w:rPr>
          <w:rFonts w:eastAsia="Calibri"/>
        </w:rPr>
        <w:t>November), having been called by her as a result of an argument between her and her husband:</w:t>
      </w:r>
    </w:p>
    <w:p w:rsidR="009A4363" w:rsidRPr="00B94E33" w:rsidRDefault="00960867" w:rsidP="00B94E33">
      <w:pPr>
        <w:pStyle w:val="OpiParaSub"/>
        <w:rPr>
          <w:rFonts w:eastAsia="Calibri"/>
        </w:rPr>
      </w:pPr>
      <w:r w:rsidRPr="00B94E33">
        <w:rPr>
          <w:rFonts w:eastAsia="Calibri"/>
        </w:rPr>
        <w:t>a.  </w:t>
      </w:r>
      <w:r w:rsidR="00A411D1" w:rsidRPr="00B94E33">
        <w:rPr>
          <w:rFonts w:eastAsia="Calibri"/>
        </w:rPr>
        <w:t>They find the doors of the bedroom broken and the floor covered with empty alcohol bottles;</w:t>
      </w:r>
    </w:p>
    <w:p w:rsidR="00A411D1" w:rsidRPr="00B94E33" w:rsidRDefault="00960867" w:rsidP="00B94E33">
      <w:pPr>
        <w:pStyle w:val="OpiParaSub"/>
        <w:rPr>
          <w:rFonts w:eastAsia="Calibri"/>
        </w:rPr>
      </w:pPr>
      <w:r w:rsidRPr="00B94E33">
        <w:rPr>
          <w:rFonts w:eastAsia="Calibri"/>
        </w:rPr>
        <w:t>b.  </w:t>
      </w:r>
      <w:r w:rsidR="00A411D1" w:rsidRPr="00B94E33">
        <w:rPr>
          <w:rFonts w:eastAsia="Calibri"/>
        </w:rPr>
        <w:t>The Applicant confirmed to them that her husband was drunk and indicated that she had called help because she considered that he might need the help of a doctor; and</w:t>
      </w:r>
    </w:p>
    <w:p w:rsidR="00A411D1" w:rsidRPr="00B94E33" w:rsidRDefault="00960867" w:rsidP="00B94E33">
      <w:pPr>
        <w:pStyle w:val="OpiParaSub"/>
        <w:rPr>
          <w:rFonts w:eastAsia="Calibri"/>
        </w:rPr>
      </w:pPr>
      <w:r w:rsidRPr="00B94E33">
        <w:rPr>
          <w:rFonts w:eastAsia="Calibri"/>
        </w:rPr>
        <w:t>c.  </w:t>
      </w:r>
      <w:r w:rsidR="00A411D1" w:rsidRPr="00B94E33">
        <w:rPr>
          <w:rFonts w:eastAsia="Calibri"/>
        </w:rPr>
        <w:t>Reminded them of her criminal complaint (and the fact that she had since changed her complaint)</w:t>
      </w:r>
      <w:r w:rsidR="001F016F" w:rsidRPr="00B94E33">
        <w:rPr>
          <w:rFonts w:eastAsia="Calibri"/>
        </w:rPr>
        <w:t>.</w:t>
      </w:r>
    </w:p>
    <w:p w:rsidR="00A411D1" w:rsidRPr="00B94E33" w:rsidRDefault="00633B26" w:rsidP="00B94E33">
      <w:pPr>
        <w:pStyle w:val="OpiPara"/>
        <w:rPr>
          <w:rFonts w:eastAsia="Calibri"/>
        </w:rPr>
      </w:pPr>
      <w:r w:rsidRPr="00B94E33">
        <w:rPr>
          <w:rFonts w:eastAsia="Calibri"/>
        </w:rPr>
        <w:t>6.  </w:t>
      </w:r>
      <w:r w:rsidR="00A411D1" w:rsidRPr="00B94E33">
        <w:rPr>
          <w:rFonts w:eastAsia="Calibri"/>
        </w:rPr>
        <w:t>Thereafter, the Applicant</w:t>
      </w:r>
      <w:r w:rsidR="00B94E33" w:rsidRPr="00B94E33">
        <w:rPr>
          <w:rFonts w:eastAsia="Calibri"/>
        </w:rPr>
        <w:t>’</w:t>
      </w:r>
      <w:r w:rsidR="00A411D1" w:rsidRPr="00B94E33">
        <w:rPr>
          <w:rFonts w:eastAsia="Calibri"/>
        </w:rPr>
        <w:t>s husband was taken to hospital in a state of intoxication (§ 39) but checked himself out again that same night.</w:t>
      </w:r>
    </w:p>
    <w:p w:rsidR="00A411D1" w:rsidRPr="00B94E33" w:rsidRDefault="00633B26" w:rsidP="00B94E33">
      <w:pPr>
        <w:pStyle w:val="OpiPara"/>
        <w:rPr>
          <w:rFonts w:eastAsia="Calibri"/>
        </w:rPr>
      </w:pPr>
      <w:r w:rsidRPr="00B94E33">
        <w:rPr>
          <w:rFonts w:eastAsia="Calibri"/>
        </w:rPr>
        <w:lastRenderedPageBreak/>
        <w:t>7.  </w:t>
      </w:r>
      <w:r w:rsidR="00A411D1" w:rsidRPr="00B94E33">
        <w:rPr>
          <w:rFonts w:eastAsia="Calibri"/>
        </w:rPr>
        <w:t>It seems to me that the crucial question, therefore, is whether it can be said that the police officers who, at 2:25 am on 25 November 2013, stopped the Applicant</w:t>
      </w:r>
      <w:r w:rsidR="00B94E33" w:rsidRPr="00B94E33">
        <w:rPr>
          <w:rFonts w:eastAsia="Calibri"/>
        </w:rPr>
        <w:t>’</w:t>
      </w:r>
      <w:r w:rsidR="00A411D1" w:rsidRPr="00B94E33">
        <w:rPr>
          <w:rFonts w:eastAsia="Calibri"/>
        </w:rPr>
        <w:t>s husband for an identity check and noted that he was (again) in a state of intoxication and had difficulties maintaining his balance, were or should have been aware (having checked his identity) of the above facts and circumstances. Should they at that stage, rather than merely give him a verbal warning, have come to the conclusion that, in his current state, he posed an imminent and real risk to the Applicant</w:t>
      </w:r>
      <w:r w:rsidR="00B94E33" w:rsidRPr="00B94E33">
        <w:rPr>
          <w:rFonts w:eastAsia="Calibri"/>
        </w:rPr>
        <w:t>’</w:t>
      </w:r>
      <w:r w:rsidR="00A411D1" w:rsidRPr="00B94E33">
        <w:rPr>
          <w:rFonts w:eastAsia="Calibri"/>
        </w:rPr>
        <w:t>s physical integrity and/or life if he were allowed to return home (to the Applicant) in that state.</w:t>
      </w:r>
    </w:p>
    <w:p w:rsidR="00A411D1" w:rsidRPr="00B94E33" w:rsidRDefault="00633B26" w:rsidP="00B94E33">
      <w:pPr>
        <w:pStyle w:val="OpiPara"/>
        <w:rPr>
          <w:rFonts w:eastAsia="Calibri"/>
        </w:rPr>
      </w:pPr>
      <w:r w:rsidRPr="00B94E33">
        <w:rPr>
          <w:rFonts w:eastAsia="Calibri"/>
        </w:rPr>
        <w:t>8.  </w:t>
      </w:r>
      <w:r w:rsidR="00A411D1" w:rsidRPr="00B94E33">
        <w:rPr>
          <w:rFonts w:eastAsia="Calibri"/>
        </w:rPr>
        <w:t>As indicated above and not without considerable hesitation, I have come to the conclusion that they should have known, when they stopped him and checked his identity at 2:25 am on 25 November 2013, of the existence of a real and immediate risk to the physical integrity and/or life of the Applicant (and her children) from the criminal acts of her husband and that they failed to take measures within the scope of their powers which, judged reasonably, might have been expected to avoid that risk.</w:t>
      </w:r>
    </w:p>
    <w:p w:rsidR="00A411D1" w:rsidRPr="00B94E33" w:rsidRDefault="00633B26" w:rsidP="00B94E33">
      <w:pPr>
        <w:pStyle w:val="OpiPara"/>
        <w:rPr>
          <w:rFonts w:eastAsia="Calibri"/>
        </w:rPr>
      </w:pPr>
      <w:r w:rsidRPr="00B94E33">
        <w:rPr>
          <w:rFonts w:eastAsia="Calibri"/>
        </w:rPr>
        <w:t>9.  </w:t>
      </w:r>
      <w:r w:rsidR="00A411D1" w:rsidRPr="00B94E33">
        <w:rPr>
          <w:rFonts w:eastAsia="Calibri"/>
        </w:rPr>
        <w:t xml:space="preserve">In saying that, I am, of course, conscious of (and agree with) the limitations identified in § 116 of </w:t>
      </w:r>
      <w:r w:rsidR="00A411D1" w:rsidRPr="00B94E33">
        <w:rPr>
          <w:rFonts w:eastAsia="Calibri"/>
          <w:i/>
        </w:rPr>
        <w:t>Osman</w:t>
      </w:r>
      <w:r w:rsidR="00A411D1" w:rsidRPr="00B94E33">
        <w:rPr>
          <w:rFonts w:eastAsia="Calibri"/>
        </w:rPr>
        <w:t xml:space="preserve"> that:</w:t>
      </w:r>
    </w:p>
    <w:p w:rsidR="00A411D1" w:rsidRPr="00B94E33" w:rsidRDefault="009A4363" w:rsidP="00B94E33">
      <w:pPr>
        <w:pStyle w:val="OpiQuot"/>
        <w:rPr>
          <w:rFonts w:eastAsia="Calibri"/>
        </w:rPr>
      </w:pPr>
      <w:r w:rsidRPr="00B94E33">
        <w:rPr>
          <w:rFonts w:eastAsia="Calibri"/>
        </w:rPr>
        <w:t>“...</w:t>
      </w:r>
      <w:r w:rsidR="00A411D1" w:rsidRPr="00B94E33">
        <w:rPr>
          <w:rFonts w:eastAsia="Calibri"/>
        </w:rPr>
        <w:t xml:space="preserve"> bearing in mind the difficulties involved in policing modern societies, the unpredictability of human conduct and the operational choices which must be made in terms of priorities and resources, such an obligation must be interpreted in a way which does not impose an impossible or disproportionate burden on the authorities. Accordingly, not every claimed risk to life can entail for the authorities a Convention requirement to take operational measures to prevent that risk from materialising. Another relevant consideration is the need to ensure that the police exercise their powers to control and prevent crime in a manner which fully respects the due process and other guarantees which legitimately place restraints on the scope of their action to investigate crime and bring offenders to justice, including the guarantees contained in Articles 5 and 8 of the Convention.</w:t>
      </w:r>
      <w:r w:rsidRPr="00B94E33">
        <w:rPr>
          <w:rFonts w:eastAsia="Calibri"/>
        </w:rPr>
        <w:t>”</w:t>
      </w:r>
    </w:p>
    <w:p w:rsidR="009A4363" w:rsidRPr="00B94E33" w:rsidRDefault="00633B26" w:rsidP="00B94E33">
      <w:pPr>
        <w:pStyle w:val="OpiPara"/>
        <w:rPr>
          <w:rFonts w:eastAsia="Calibri"/>
        </w:rPr>
      </w:pPr>
      <w:r w:rsidRPr="00B94E33">
        <w:rPr>
          <w:rFonts w:eastAsia="Calibri"/>
        </w:rPr>
        <w:t>10.  </w:t>
      </w:r>
      <w:r w:rsidR="00A411D1" w:rsidRPr="00B94E33">
        <w:rPr>
          <w:rFonts w:eastAsia="Calibri"/>
        </w:rPr>
        <w:t xml:space="preserve">However, for me, there is a crucial distinction between the present case and that of </w:t>
      </w:r>
      <w:r w:rsidR="00A411D1" w:rsidRPr="00B94E33">
        <w:rPr>
          <w:rFonts w:eastAsia="Calibri"/>
          <w:i/>
        </w:rPr>
        <w:t>Osman</w:t>
      </w:r>
      <w:r w:rsidR="00A411D1" w:rsidRPr="00B94E33">
        <w:rPr>
          <w:rFonts w:eastAsia="Calibri"/>
        </w:rPr>
        <w:t>.</w:t>
      </w:r>
      <w:r w:rsidR="009A4363" w:rsidRPr="00B94E33">
        <w:rPr>
          <w:rFonts w:eastAsia="Calibri"/>
        </w:rPr>
        <w:t xml:space="preserve"> </w:t>
      </w:r>
      <w:r w:rsidR="00A411D1" w:rsidRPr="00B94E33">
        <w:rPr>
          <w:rFonts w:eastAsia="Calibri"/>
        </w:rPr>
        <w:t xml:space="preserve">After all, unlike in </w:t>
      </w:r>
      <w:r w:rsidR="00A411D1" w:rsidRPr="00B94E33">
        <w:rPr>
          <w:rFonts w:eastAsia="Calibri"/>
          <w:i/>
        </w:rPr>
        <w:t>Osman</w:t>
      </w:r>
      <w:r w:rsidR="00A411D1" w:rsidRPr="00B94E33">
        <w:rPr>
          <w:rFonts w:eastAsia="Calibri"/>
        </w:rPr>
        <w:t>, the police in this case had the Applicant within their control little more than 2.5 hours before the deadly attack on his wife and son and at a time when the common (and possibly causative) factor in all his previous attacks (namely his alcohol abuse) was present and apparent to everyone, when they checked his identity (and, therefore, had or should have had access to the information relevant to the risk posed by him, especially when drunk) and proceeded to give him a verbal warning. After all, the evidence is that, when he was stopped by the police, he was so intoxicated that he was having difficulties to maintain his balance. This case is not, therefore, about additional (pro-active) steps the police might or should have taken (which might impose an impossible or disproportionate burden on the police) but about the decision(s) taken when he was already within their control.</w:t>
      </w:r>
    </w:p>
    <w:p w:rsidR="00A411D1" w:rsidRPr="00B94E33" w:rsidRDefault="00633B26" w:rsidP="00B94E33">
      <w:pPr>
        <w:pStyle w:val="OpiPara"/>
        <w:rPr>
          <w:rFonts w:eastAsia="Calibri"/>
        </w:rPr>
      </w:pPr>
      <w:r w:rsidRPr="00B94E33">
        <w:rPr>
          <w:rFonts w:eastAsia="Calibri"/>
        </w:rPr>
        <w:t>11.  </w:t>
      </w:r>
      <w:r w:rsidR="00A411D1" w:rsidRPr="00B94E33">
        <w:rPr>
          <w:rFonts w:eastAsia="Calibri"/>
        </w:rPr>
        <w:t xml:space="preserve">In this different context, there also seems to be no obvious reason why any short-term preventative intervention by the police authorities, </w:t>
      </w:r>
      <w:r w:rsidR="00A411D1" w:rsidRPr="00B94E33">
        <w:rPr>
          <w:rFonts w:eastAsia="Calibri"/>
        </w:rPr>
        <w:lastRenderedPageBreak/>
        <w:t>whether in the form of an enforced return to hospital or otherwise, until (and only until) he was sober would have been inconsistent with his rights either under Article 5 or Article 8.</w:t>
      </w:r>
      <w:r w:rsidR="009A4363" w:rsidRPr="00B94E33">
        <w:rPr>
          <w:rFonts w:eastAsia="Calibri"/>
        </w:rPr>
        <w:t xml:space="preserve"> </w:t>
      </w:r>
      <w:r w:rsidR="00A411D1" w:rsidRPr="00B94E33">
        <w:rPr>
          <w:rFonts w:eastAsia="Calibri"/>
        </w:rPr>
        <w:t xml:space="preserve">In light of the particular circumstances of this case and my conclusions in relation to Article 2 (above) any such short-term (and effectively preventative) intervention may well have been capable of justification under Article 5 § 1; whether on the basis of securing fulfilment of “his obligation to keep the peace by not committing a specific and concrete offence” (see </w:t>
      </w:r>
      <w:r w:rsidR="00A411D1" w:rsidRPr="00B94E33">
        <w:rPr>
          <w:rFonts w:eastAsia="Calibri"/>
          <w:i/>
        </w:rPr>
        <w:t>Ostendorf v. Germany</w:t>
      </w:r>
      <w:r w:rsidR="00A411D1" w:rsidRPr="00B94E33">
        <w:rPr>
          <w:rFonts w:eastAsia="Calibri"/>
        </w:rPr>
        <w:t xml:space="preserve">, no. 15598/08, § 94, 7 March 2013) under Article 5 § 1(b), on the basis that it was “reasonably considered necessary to prevent his committing an offence” under Article 5 § 1(c) and/or on the basis of Article 5 § 1(e) (lawful arrest or detention of alcoholics “whose conduct and behaviour under the influence of alcohol pose a threat to public order or themselves, </w:t>
      </w:r>
      <w:r w:rsidR="009A4363" w:rsidRPr="00B94E33">
        <w:rPr>
          <w:rFonts w:eastAsia="Calibri"/>
        </w:rPr>
        <w:t>...</w:t>
      </w:r>
      <w:r w:rsidR="00A411D1" w:rsidRPr="00B94E33">
        <w:rPr>
          <w:rFonts w:eastAsia="Calibri"/>
        </w:rPr>
        <w:t xml:space="preserve"> for the protection of the public or their own interests, such as their health or personal safety”; </w:t>
      </w:r>
      <w:r w:rsidR="00A411D1" w:rsidRPr="00B94E33">
        <w:rPr>
          <w:rFonts w:eastAsia="Calibri"/>
          <w:i/>
        </w:rPr>
        <w:t>Kharin v.</w:t>
      </w:r>
      <w:r w:rsidR="001F016F" w:rsidRPr="00B94E33">
        <w:rPr>
          <w:rFonts w:eastAsia="Calibri"/>
          <w:i/>
        </w:rPr>
        <w:t> </w:t>
      </w:r>
      <w:r w:rsidR="00A411D1" w:rsidRPr="00B94E33">
        <w:rPr>
          <w:rFonts w:eastAsia="Calibri"/>
          <w:i/>
        </w:rPr>
        <w:t>Russia</w:t>
      </w:r>
      <w:r w:rsidR="00A411D1" w:rsidRPr="00B94E33">
        <w:rPr>
          <w:rFonts w:eastAsia="Calibri"/>
        </w:rPr>
        <w:t xml:space="preserve">, no. 37345/03, § 34, 3 February 2011, see also </w:t>
      </w:r>
      <w:r w:rsidR="00A411D1" w:rsidRPr="00B94E33">
        <w:rPr>
          <w:rFonts w:eastAsia="Calibri"/>
          <w:i/>
        </w:rPr>
        <w:t>Witold Litwa v.</w:t>
      </w:r>
      <w:r w:rsidR="001F016F" w:rsidRPr="00B94E33">
        <w:rPr>
          <w:rFonts w:eastAsia="Calibri"/>
          <w:i/>
        </w:rPr>
        <w:t> </w:t>
      </w:r>
      <w:r w:rsidR="00A411D1" w:rsidRPr="00B94E33">
        <w:rPr>
          <w:rFonts w:eastAsia="Calibri"/>
          <w:i/>
        </w:rPr>
        <w:t>Poland</w:t>
      </w:r>
      <w:r w:rsidR="00A411D1" w:rsidRPr="00B94E33">
        <w:rPr>
          <w:rFonts w:eastAsia="Calibri"/>
        </w:rPr>
        <w:t>, no. 26629/95, § 62, ECHR 2000</w:t>
      </w:r>
      <w:r w:rsidR="00A411D1" w:rsidRPr="00B94E33">
        <w:rPr>
          <w:rFonts w:ascii="MS Mincho" w:eastAsia="MS Mincho" w:hAnsi="MS Mincho" w:cs="MS Mincho" w:hint="eastAsia"/>
        </w:rPr>
        <w:t>‑</w:t>
      </w:r>
      <w:r w:rsidR="00A411D1" w:rsidRPr="00B94E33">
        <w:rPr>
          <w:rFonts w:eastAsia="Calibri"/>
        </w:rPr>
        <w:t>III). This is, of course, particularly so where the obvious less restrictive alternative to such intervention was to allow him to return home (to the place where his previous attacks took place and where the victim of those attacks, the Applicant, was also resident and was known to be resident as a result of the earlier police intervention).</w:t>
      </w:r>
    </w:p>
    <w:p w:rsidR="00A411D1" w:rsidRPr="00B94E33" w:rsidRDefault="00A411D1" w:rsidP="00B94E33">
      <w:pPr>
        <w:pStyle w:val="OpiHA0"/>
        <w:rPr>
          <w:rFonts w:eastAsia="Calibri"/>
        </w:rPr>
      </w:pPr>
      <w:r w:rsidRPr="00B94E33">
        <w:rPr>
          <w:rFonts w:eastAsia="Calibri"/>
        </w:rPr>
        <w:t>II.</w:t>
      </w:r>
      <w:r w:rsidR="001F016F" w:rsidRPr="00B94E33">
        <w:rPr>
          <w:rFonts w:eastAsia="Calibri"/>
        </w:rPr>
        <w:t>  </w:t>
      </w:r>
      <w:r w:rsidRPr="00B94E33">
        <w:rPr>
          <w:rFonts w:eastAsia="Calibri"/>
        </w:rPr>
        <w:t>Article 14 read with Articles 2 and/or 3 of the Convention</w:t>
      </w:r>
    </w:p>
    <w:p w:rsidR="00A411D1" w:rsidRPr="00B94E33" w:rsidRDefault="00553CFB" w:rsidP="00B94E33">
      <w:pPr>
        <w:pStyle w:val="OpiPara"/>
        <w:rPr>
          <w:rFonts w:eastAsia="Calibri"/>
        </w:rPr>
      </w:pPr>
      <w:r w:rsidRPr="00B94E33">
        <w:rPr>
          <w:rFonts w:eastAsia="Calibri"/>
        </w:rPr>
        <w:t>12.  </w:t>
      </w:r>
      <w:r w:rsidR="00A411D1" w:rsidRPr="00B94E33">
        <w:rPr>
          <w:rFonts w:eastAsia="Calibri"/>
        </w:rPr>
        <w:t>Beyond the complaint under Articles 2 and/or 3 of the Convention, the Applicant further complained that “the unreasonable passivity of [the] authorities demonstrates that the regulatory and protection system provided is not sufficiently suitable in order to ensure the protection of a woman victim of domestic violence” (§124 of the Applicant</w:t>
      </w:r>
      <w:r w:rsidR="00B94E33" w:rsidRPr="00B94E33">
        <w:rPr>
          <w:rFonts w:eastAsia="Calibri"/>
        </w:rPr>
        <w:t>’</w:t>
      </w:r>
      <w:r w:rsidR="00A411D1" w:rsidRPr="00B94E33">
        <w:rPr>
          <w:rFonts w:eastAsia="Calibri"/>
        </w:rPr>
        <w:t>s Observations of 9</w:t>
      </w:r>
      <w:r w:rsidR="001F016F" w:rsidRPr="00B94E33">
        <w:rPr>
          <w:rFonts w:eastAsia="Calibri"/>
        </w:rPr>
        <w:t> </w:t>
      </w:r>
      <w:r w:rsidR="00A411D1" w:rsidRPr="00B94E33">
        <w:rPr>
          <w:rFonts w:eastAsia="Calibri"/>
        </w:rPr>
        <w:t>March 2016) and that, consequently, the ineffectiveness or lack of suitability of the domestic regulatory and protection system amounted to a violation of Article 14 read together with Articles 2 and/or 3. This complaint, therefore, was one of a systemic failure to protect women based on unlawful discrimination.</w:t>
      </w:r>
    </w:p>
    <w:p w:rsidR="00A411D1" w:rsidRPr="00B94E33" w:rsidRDefault="00553CFB" w:rsidP="00B94E33">
      <w:pPr>
        <w:pStyle w:val="OpiPara"/>
        <w:rPr>
          <w:rFonts w:eastAsia="Calibri"/>
        </w:rPr>
      </w:pPr>
      <w:r w:rsidRPr="00B94E33">
        <w:rPr>
          <w:rFonts w:eastAsia="Calibri"/>
        </w:rPr>
        <w:t>13.  </w:t>
      </w:r>
      <w:r w:rsidR="00A411D1" w:rsidRPr="00B94E33">
        <w:rPr>
          <w:rFonts w:eastAsia="Calibri"/>
        </w:rPr>
        <w:t>There is no doubt that gender based violence, including in particular domestic violence, continues to “reflect[..] and reinforce[</w:t>
      </w:r>
      <w:r w:rsidR="009A4363" w:rsidRPr="00B94E33">
        <w:rPr>
          <w:rFonts w:eastAsia="Calibri"/>
        </w:rPr>
        <w:t>...</w:t>
      </w:r>
      <w:r w:rsidR="00A411D1" w:rsidRPr="00B94E33">
        <w:rPr>
          <w:rFonts w:eastAsia="Calibri"/>
        </w:rPr>
        <w:t>] inequalities between women and men and remains a major problem in the European Union. It is prevalent in all societies and is based on unequal power relations between women and men, which reinforce men</w:t>
      </w:r>
      <w:r w:rsidR="00B94E33" w:rsidRPr="00B94E33">
        <w:rPr>
          <w:rFonts w:eastAsia="Calibri"/>
        </w:rPr>
        <w:t>’</w:t>
      </w:r>
      <w:r w:rsidR="00A411D1" w:rsidRPr="00B94E33">
        <w:rPr>
          <w:rFonts w:eastAsia="Calibri"/>
        </w:rPr>
        <w:t>s dominance over women” (</w:t>
      </w:r>
      <w:r w:rsidR="00A411D1" w:rsidRPr="00B94E33">
        <w:rPr>
          <w:rFonts w:eastAsia="Calibri"/>
          <w:i/>
        </w:rPr>
        <w:t xml:space="preserve">European Institute for Gender Equality – EIGE in brief </w:t>
      </w:r>
      <w:r w:rsidR="00A411D1" w:rsidRPr="00B94E33">
        <w:rPr>
          <w:rFonts w:eastAsia="Calibri"/>
        </w:rPr>
        <w:t xml:space="preserve">(2016) at p. 8). The fact that gender based violence remains a major problem not only in the EU but also beyond not only lies at the heart of the on-going work of the EU Fundamental Rights Agency and the EIGE on combatting the underlying causes, both societal as well as legal, but, of course also led the </w:t>
      </w:r>
      <w:r w:rsidR="00A411D1" w:rsidRPr="00B94E33">
        <w:rPr>
          <w:rFonts w:eastAsia="Calibri"/>
        </w:rPr>
        <w:lastRenderedPageBreak/>
        <w:t>Council of Europe, in 2011, to adopt the Council of Europe Convention on preventing and combating violence (the “Istanbul Convention”). As § 5 of the Explanatory Report to the Istanbul Convention explains further:</w:t>
      </w:r>
    </w:p>
    <w:p w:rsidR="00A411D1" w:rsidRPr="00B94E33" w:rsidRDefault="009A4363" w:rsidP="00B94E33">
      <w:pPr>
        <w:pStyle w:val="OpiQuot"/>
        <w:rPr>
          <w:rFonts w:eastAsia="Calibri"/>
        </w:rPr>
      </w:pPr>
      <w:r w:rsidRPr="00B94E33">
        <w:rPr>
          <w:rFonts w:eastAsia="Calibri"/>
        </w:rPr>
        <w:t>“</w:t>
      </w:r>
      <w:r w:rsidR="00A411D1" w:rsidRPr="00B94E33">
        <w:rPr>
          <w:rFonts w:eastAsia="Calibri"/>
        </w:rPr>
        <w:t>Violence against women is a worldwide phenomenon. The Committee on the Elimination of</w:t>
      </w:r>
      <w:r w:rsidR="004B031B" w:rsidRPr="00B94E33">
        <w:rPr>
          <w:rFonts w:eastAsia="Calibri"/>
        </w:rPr>
        <w:t xml:space="preserve"> </w:t>
      </w:r>
      <w:r w:rsidR="00A411D1" w:rsidRPr="00B94E33">
        <w:rPr>
          <w:rFonts w:eastAsia="Calibri"/>
        </w:rPr>
        <w:t>Discrimination against Women (CEDAW Committee) of the United Nations Convention on the Elimination of All Forms of Discrimination Against Women (hereafter CEDAW) in its general recommendation on violence against women No. 19 (1992) helped to ensure the recognition of gender-based violence against women as a form of discrimination against women. The United Nations General Assembly, in 1993, adopted a Declaration on the Elimination of Violence against Women that laid the foundation for international action on violence against women. In 1995, the Beijing Declaration and Platform for Action identified the eradication of violence against women as a strategic objective among other gender equality requirements. In 2006, the UN Secretary-General published his In-depth study on all forms of violence against women, in which he identified the manifestations and international legal frameworks relating to violence against women, and also compiled details of "promising practices" which have shown some success in addressing this issue.</w:t>
      </w:r>
      <w:r w:rsidRPr="00B94E33">
        <w:rPr>
          <w:rFonts w:eastAsia="Calibri"/>
        </w:rPr>
        <w:t>”</w:t>
      </w:r>
    </w:p>
    <w:p w:rsidR="009A4363" w:rsidRPr="00B94E33" w:rsidRDefault="00553CFB" w:rsidP="00B94E33">
      <w:pPr>
        <w:pStyle w:val="OpiPara"/>
        <w:rPr>
          <w:rFonts w:eastAsia="Calibri"/>
        </w:rPr>
      </w:pPr>
      <w:r w:rsidRPr="00B94E33">
        <w:rPr>
          <w:rFonts w:eastAsia="Calibri"/>
        </w:rPr>
        <w:t>14.  </w:t>
      </w:r>
      <w:r w:rsidR="00A411D1" w:rsidRPr="00B94E33">
        <w:rPr>
          <w:rFonts w:eastAsia="Calibri"/>
        </w:rPr>
        <w:t>That said, I agree with the sentiment expressed in the opening sentence of Judge Spano</w:t>
      </w:r>
      <w:r w:rsidR="00B94E33" w:rsidRPr="00B94E33">
        <w:rPr>
          <w:rFonts w:eastAsia="Calibri"/>
        </w:rPr>
        <w:t>’</w:t>
      </w:r>
      <w:r w:rsidR="00A411D1" w:rsidRPr="00B94E33">
        <w:rPr>
          <w:rFonts w:eastAsia="Calibri"/>
        </w:rPr>
        <w:t>s Partly Dissenting Opinion: “the law has its limits, even human rights law”.</w:t>
      </w:r>
      <w:r w:rsidR="009A4363" w:rsidRPr="00B94E33">
        <w:rPr>
          <w:rFonts w:eastAsia="Calibri"/>
        </w:rPr>
        <w:t xml:space="preserve"> </w:t>
      </w:r>
      <w:r w:rsidR="00A411D1" w:rsidRPr="00B94E33">
        <w:rPr>
          <w:rFonts w:eastAsia="Calibri"/>
        </w:rPr>
        <w:t>This Court is, of course, a court of law and is therefore constrained to act within the limits of the law, the observance of which it is charged to ensure (Article 19), and on the basis of the evidence available to it.</w:t>
      </w:r>
      <w:r w:rsidR="009A4363" w:rsidRPr="00B94E33">
        <w:rPr>
          <w:rFonts w:eastAsia="Calibri"/>
        </w:rPr>
        <w:t xml:space="preserve"> </w:t>
      </w:r>
      <w:r w:rsidR="00A411D1" w:rsidRPr="00B94E33">
        <w:rPr>
          <w:rFonts w:eastAsia="Calibri"/>
        </w:rPr>
        <w:t>As a consequence, the role the Convention and this Court can play in addressing the issue of gender based violence is clearly delimited by the terms of the Convention and by this Court</w:t>
      </w:r>
      <w:r w:rsidR="00B94E33" w:rsidRPr="00B94E33">
        <w:rPr>
          <w:rFonts w:eastAsia="Calibri"/>
        </w:rPr>
        <w:t>’</w:t>
      </w:r>
      <w:r w:rsidR="00A411D1" w:rsidRPr="00B94E33">
        <w:rPr>
          <w:rFonts w:eastAsia="Calibri"/>
        </w:rPr>
        <w:t xml:space="preserve">s case law; a fact which is, of course, also reflected in the fact that </w:t>
      </w:r>
      <w:r w:rsidR="00A411D1" w:rsidRPr="00B94E33">
        <w:rPr>
          <w:rFonts w:eastAsia="Calibri"/>
          <w:i/>
        </w:rPr>
        <w:t xml:space="preserve">inter alia </w:t>
      </w:r>
      <w:r w:rsidR="00A411D1" w:rsidRPr="00B94E33">
        <w:rPr>
          <w:rFonts w:eastAsia="Calibri"/>
        </w:rPr>
        <w:t>the Council of Europe, the United Nations and the EU have concluded Conventions and policies, adopted legislation and created specialist agencies for the specific purpose of addressing this issue.</w:t>
      </w:r>
    </w:p>
    <w:p w:rsidR="00A411D1" w:rsidRPr="00B94E33" w:rsidRDefault="00553CFB" w:rsidP="00B94E33">
      <w:pPr>
        <w:pStyle w:val="OpiPara"/>
        <w:rPr>
          <w:rFonts w:eastAsia="Calibri"/>
        </w:rPr>
      </w:pPr>
      <w:r w:rsidRPr="00B94E33">
        <w:rPr>
          <w:rFonts w:eastAsia="Calibri"/>
        </w:rPr>
        <w:t>15.  </w:t>
      </w:r>
      <w:r w:rsidR="00A411D1" w:rsidRPr="00B94E33">
        <w:rPr>
          <w:rFonts w:eastAsia="Calibri"/>
        </w:rPr>
        <w:t xml:space="preserve">Turning to the applicable law, it was in its landmark judgment in </w:t>
      </w:r>
      <w:r w:rsidR="00A411D1" w:rsidRPr="00B94E33">
        <w:rPr>
          <w:rFonts w:eastAsia="Calibri"/>
          <w:i/>
        </w:rPr>
        <w:t>Opuz v. Turkey</w:t>
      </w:r>
      <w:r w:rsidR="00A411D1" w:rsidRPr="00B94E33">
        <w:rPr>
          <w:rFonts w:eastAsia="Calibri"/>
        </w:rPr>
        <w:t xml:space="preserve"> (no. 33401/02, § 191, ECHR 2009), that this Court, drawing inspiration from the terms of CEDAW and the work of the CEDAW Committee, first recognised that a State</w:t>
      </w:r>
      <w:r w:rsidR="00B94E33" w:rsidRPr="00B94E33">
        <w:rPr>
          <w:rFonts w:eastAsia="Calibri"/>
        </w:rPr>
        <w:t>’</w:t>
      </w:r>
      <w:r w:rsidR="00A411D1" w:rsidRPr="00B94E33">
        <w:rPr>
          <w:rFonts w:eastAsia="Calibri"/>
        </w:rPr>
        <w:t>s failure to protect women against domestic violence is capable of breaching their right to equal protection of the law irrespective of whether this failure is intentional or not.</w:t>
      </w:r>
      <w:r w:rsidR="009A4363" w:rsidRPr="00B94E33">
        <w:rPr>
          <w:rFonts w:eastAsia="Calibri"/>
        </w:rPr>
        <w:t xml:space="preserve"> </w:t>
      </w:r>
      <w:r w:rsidR="00A411D1" w:rsidRPr="00B94E33">
        <w:rPr>
          <w:rFonts w:eastAsia="Calibri"/>
        </w:rPr>
        <w:t>On the facts of that case, the Court concluded that Turkey had breached the applicant</w:t>
      </w:r>
      <w:r w:rsidR="00B94E33" w:rsidRPr="00B94E33">
        <w:rPr>
          <w:rFonts w:eastAsia="Calibri"/>
        </w:rPr>
        <w:t>’</w:t>
      </w:r>
      <w:r w:rsidR="00A411D1" w:rsidRPr="00B94E33">
        <w:rPr>
          <w:rFonts w:eastAsia="Calibri"/>
        </w:rPr>
        <w:t>s rights under Article 14 read together with Articles 2 and 3 of the Convention as there was:</w:t>
      </w:r>
    </w:p>
    <w:p w:rsidR="009A4363" w:rsidRPr="00B94E33" w:rsidRDefault="00960867" w:rsidP="00B94E33">
      <w:pPr>
        <w:pStyle w:val="OpiParaSub"/>
        <w:rPr>
          <w:rFonts w:eastAsia="Calibri"/>
        </w:rPr>
      </w:pPr>
      <w:r w:rsidRPr="00B94E33">
        <w:rPr>
          <w:rFonts w:eastAsia="Calibri"/>
        </w:rPr>
        <w:t>a.  </w:t>
      </w:r>
      <w:r w:rsidR="00A411D1" w:rsidRPr="00B94E33">
        <w:rPr>
          <w:rFonts w:eastAsia="Calibri"/>
        </w:rPr>
        <w:t>A “suggestion” that “domestic violence is tolerated by the authorities and that the remedies indicated by the Government do not function effectively” (§ 197);</w:t>
      </w:r>
    </w:p>
    <w:p w:rsidR="00A411D1" w:rsidRPr="00B94E33" w:rsidRDefault="00960867" w:rsidP="00B94E33">
      <w:pPr>
        <w:pStyle w:val="OpiParaSub"/>
        <w:rPr>
          <w:rFonts w:eastAsia="Calibri"/>
        </w:rPr>
      </w:pPr>
      <w:r w:rsidRPr="00B94E33">
        <w:rPr>
          <w:rFonts w:eastAsia="Calibri"/>
        </w:rPr>
        <w:t>b.  </w:t>
      </w:r>
      <w:r w:rsidR="00A411D1" w:rsidRPr="00B94E33">
        <w:rPr>
          <w:rFonts w:eastAsia="Calibri"/>
        </w:rPr>
        <w:t>A “prima facie indication” that “the general and discriminatory judicial passivity in Turkey created a climate that was conducive to domestic violence” (§ 198); and</w:t>
      </w:r>
    </w:p>
    <w:p w:rsidR="00A411D1" w:rsidRPr="00B94E33" w:rsidRDefault="00960867" w:rsidP="00B94E33">
      <w:pPr>
        <w:pStyle w:val="OpiParaSub"/>
        <w:rPr>
          <w:rFonts w:eastAsia="Calibri"/>
        </w:rPr>
      </w:pPr>
      <w:r w:rsidRPr="00B94E33">
        <w:rPr>
          <w:rFonts w:eastAsia="Calibri"/>
        </w:rPr>
        <w:lastRenderedPageBreak/>
        <w:t>c.  </w:t>
      </w:r>
      <w:r w:rsidR="00A411D1" w:rsidRPr="00B94E33">
        <w:rPr>
          <w:rFonts w:eastAsia="Calibri"/>
        </w:rPr>
        <w:t>“general and discriminatory judicial passivity in Turkey [which], albeit unintentional, mainly affected women, the Court considers that the violence suffered by the applicant and her mother may be regarded as gender-based violence which is a form of discrimination against women” (§</w:t>
      </w:r>
      <w:r w:rsidR="001F016F" w:rsidRPr="00B94E33">
        <w:rPr>
          <w:rFonts w:eastAsia="Calibri"/>
        </w:rPr>
        <w:t> </w:t>
      </w:r>
      <w:r w:rsidR="00A411D1" w:rsidRPr="00B94E33">
        <w:rPr>
          <w:rFonts w:eastAsia="Calibri"/>
        </w:rPr>
        <w:t>200)</w:t>
      </w:r>
      <w:r w:rsidR="004B031B" w:rsidRPr="00B94E33">
        <w:rPr>
          <w:rFonts w:eastAsia="Calibri"/>
        </w:rPr>
        <w:t>.</w:t>
      </w:r>
    </w:p>
    <w:p w:rsidR="00A411D1" w:rsidRPr="00B94E33" w:rsidRDefault="00553CFB" w:rsidP="00B94E33">
      <w:pPr>
        <w:pStyle w:val="OpiPara"/>
        <w:rPr>
          <w:rFonts w:eastAsia="Calibri"/>
        </w:rPr>
      </w:pPr>
      <w:r w:rsidRPr="00B94E33">
        <w:rPr>
          <w:rFonts w:eastAsia="Calibri"/>
        </w:rPr>
        <w:t>16.  </w:t>
      </w:r>
      <w:r w:rsidR="00A411D1" w:rsidRPr="00B94E33">
        <w:rPr>
          <w:rFonts w:eastAsia="Calibri"/>
        </w:rPr>
        <w:t xml:space="preserve">Applying the approach identified in </w:t>
      </w:r>
      <w:r w:rsidR="00A411D1" w:rsidRPr="00B94E33">
        <w:rPr>
          <w:rFonts w:eastAsia="Calibri"/>
          <w:i/>
        </w:rPr>
        <w:t>Opuz</w:t>
      </w:r>
      <w:r w:rsidR="00A411D1" w:rsidRPr="00B94E33">
        <w:rPr>
          <w:rFonts w:eastAsia="Calibri"/>
        </w:rPr>
        <w:t>, the Court has since had occasion to consider whether other High Contracting Parties had acted in breach of Article 14 read with Articles 2 and/or 3 in the context of domestic violence.</w:t>
      </w:r>
    </w:p>
    <w:p w:rsidR="00A411D1" w:rsidRPr="00B94E33" w:rsidRDefault="00553CFB" w:rsidP="00B94E33">
      <w:pPr>
        <w:pStyle w:val="OpiPara"/>
        <w:rPr>
          <w:rFonts w:eastAsia="Calibri"/>
        </w:rPr>
      </w:pPr>
      <w:r w:rsidRPr="00B94E33">
        <w:rPr>
          <w:rFonts w:eastAsia="Calibri"/>
        </w:rPr>
        <w:t>17.  </w:t>
      </w:r>
      <w:r w:rsidR="00A411D1" w:rsidRPr="00B94E33">
        <w:rPr>
          <w:rFonts w:eastAsia="Calibri"/>
        </w:rPr>
        <w:t>In relation to the Republic of Moldova, the Court found a breach of Article 14 read together with Articles 2 and/or 3 on the express basis that:</w:t>
      </w:r>
    </w:p>
    <w:p w:rsidR="00A411D1" w:rsidRPr="00B94E33" w:rsidRDefault="009A4363" w:rsidP="00B94E33">
      <w:pPr>
        <w:pStyle w:val="OpiQuot"/>
        <w:rPr>
          <w:rFonts w:eastAsia="Calibri"/>
        </w:rPr>
      </w:pPr>
      <w:r w:rsidRPr="00B94E33">
        <w:rPr>
          <w:rFonts w:eastAsia="Calibri"/>
        </w:rPr>
        <w:t>“...</w:t>
      </w:r>
      <w:r w:rsidR="00A411D1" w:rsidRPr="00B94E33">
        <w:rPr>
          <w:rFonts w:eastAsia="Calibri"/>
        </w:rPr>
        <w:t xml:space="preserve"> the authorities</w:t>
      </w:r>
      <w:r w:rsidR="00B94E33" w:rsidRPr="00B94E33">
        <w:rPr>
          <w:rFonts w:eastAsia="Calibri"/>
        </w:rPr>
        <w:t>’</w:t>
      </w:r>
      <w:r w:rsidR="00A411D1" w:rsidRPr="00B94E33">
        <w:rPr>
          <w:rFonts w:eastAsia="Calibri"/>
        </w:rPr>
        <w:t xml:space="preserve"> actions were not a simple failure or delay in dealing with violence against the first applicant, but </w:t>
      </w:r>
      <w:r w:rsidR="00A411D1" w:rsidRPr="00B94E33">
        <w:rPr>
          <w:rFonts w:eastAsia="Calibri"/>
          <w:u w:val="single"/>
        </w:rPr>
        <w:t>amounted to repeatedly condoning such violence and reflected a discriminatory attitude towards the first applicant as a woman</w:t>
      </w:r>
      <w:r w:rsidR="00A411D1" w:rsidRPr="00B94E33">
        <w:rPr>
          <w:rFonts w:eastAsia="Calibri"/>
        </w:rPr>
        <w:t xml:space="preserve">. The findings of the United Nations Special rapporteur on violence against women, its causes and consequences (see paragraph 37 above) only support the impression that the authorities do not fully appreciate the seriousness and extent of the problem of domestic violence in Moldova and its discriminatory effect on women. (see </w:t>
      </w:r>
      <w:r w:rsidR="00A411D1" w:rsidRPr="00B94E33">
        <w:rPr>
          <w:rFonts w:eastAsia="Calibri"/>
          <w:i/>
        </w:rPr>
        <w:t>Eremia v. the Republic of Moldova</w:t>
      </w:r>
      <w:r w:rsidR="00A411D1" w:rsidRPr="00B94E33">
        <w:rPr>
          <w:rFonts w:eastAsia="Calibri"/>
        </w:rPr>
        <w:t xml:space="preserve"> (no. 3564/11, § 89, 28 May 2013), </w:t>
      </w:r>
      <w:r w:rsidR="00A411D1" w:rsidRPr="00B94E33">
        <w:rPr>
          <w:rFonts w:eastAsia="Calibri"/>
          <w:i/>
        </w:rPr>
        <w:t>Mudric v. the Republic of Moldova</w:t>
      </w:r>
      <w:r w:rsidR="00A411D1" w:rsidRPr="00B94E33">
        <w:rPr>
          <w:rFonts w:eastAsia="Calibri"/>
        </w:rPr>
        <w:t xml:space="preserve">, no. 74839/10, § 63, 16 July 2013 and </w:t>
      </w:r>
      <w:r w:rsidR="00A411D1" w:rsidRPr="00B94E33">
        <w:rPr>
          <w:rFonts w:eastAsia="Calibri"/>
          <w:i/>
        </w:rPr>
        <w:t>T.M. and C.M. v. the Republic of Moldova</w:t>
      </w:r>
      <w:r w:rsidR="00A411D1" w:rsidRPr="00B94E33">
        <w:rPr>
          <w:rFonts w:eastAsia="Calibri"/>
        </w:rPr>
        <w:t>, no. 26608/11, § 62, 7 January 2014; my emphasis)</w:t>
      </w:r>
      <w:r w:rsidRPr="00B94E33">
        <w:rPr>
          <w:rFonts w:eastAsia="Calibri"/>
        </w:rPr>
        <w:t>”</w:t>
      </w:r>
    </w:p>
    <w:p w:rsidR="00A411D1" w:rsidRPr="00B94E33" w:rsidRDefault="00553CFB" w:rsidP="00B94E33">
      <w:pPr>
        <w:pStyle w:val="OpiPara"/>
        <w:rPr>
          <w:rFonts w:eastAsia="Calibri"/>
        </w:rPr>
      </w:pPr>
      <w:r w:rsidRPr="00B94E33">
        <w:rPr>
          <w:rFonts w:eastAsia="Calibri"/>
        </w:rPr>
        <w:t>18.  </w:t>
      </w:r>
      <w:r w:rsidR="00A411D1" w:rsidRPr="00B94E33">
        <w:rPr>
          <w:rFonts w:eastAsia="Calibri"/>
        </w:rPr>
        <w:t xml:space="preserve">By contrast, when confronted with a similar complaint against Croatia, the Court, in its judgment in </w:t>
      </w:r>
      <w:r w:rsidR="00A411D1" w:rsidRPr="00B94E33">
        <w:rPr>
          <w:rFonts w:eastAsia="Calibri"/>
          <w:i/>
        </w:rPr>
        <w:t>A v. Croatia</w:t>
      </w:r>
      <w:r w:rsidR="004B031B" w:rsidRPr="00B94E33">
        <w:rPr>
          <w:rFonts w:eastAsia="Calibri"/>
        </w:rPr>
        <w:t>, no. </w:t>
      </w:r>
      <w:r w:rsidR="00A411D1" w:rsidRPr="00B94E33">
        <w:rPr>
          <w:rFonts w:eastAsia="Calibri"/>
        </w:rPr>
        <w:t>55164/08, §§94-104, 14</w:t>
      </w:r>
      <w:r w:rsidR="001F016F" w:rsidRPr="00B94E33">
        <w:rPr>
          <w:rFonts w:eastAsia="Calibri"/>
        </w:rPr>
        <w:t> </w:t>
      </w:r>
      <w:r w:rsidR="00A411D1" w:rsidRPr="00B94E33">
        <w:rPr>
          <w:rFonts w:eastAsia="Calibri"/>
        </w:rPr>
        <w:t>October 2010, concluded that the complaint under Article 14 of the Convention was manifestly ill-founded; “the applicant has not produced sufficient prima facie evidence that the measures or practices adopted in Croatia in the context of domestic violence, or the effects of such measures or practices, are discriminatory” (§ 104). In reaching this conclusion, the Court identified the necessary evidential threshold for a finding of a violation of Article 14 in this context (by reference to and distinguishing the Court</w:t>
      </w:r>
      <w:r w:rsidR="00B94E33" w:rsidRPr="00B94E33">
        <w:rPr>
          <w:rFonts w:eastAsia="Calibri"/>
        </w:rPr>
        <w:t>’</w:t>
      </w:r>
      <w:r w:rsidR="00A411D1" w:rsidRPr="00B94E33">
        <w:rPr>
          <w:rFonts w:eastAsia="Calibri"/>
        </w:rPr>
        <w:t xml:space="preserve">s conclusion in </w:t>
      </w:r>
      <w:r w:rsidR="00A411D1" w:rsidRPr="00B94E33">
        <w:rPr>
          <w:rFonts w:eastAsia="Calibri"/>
          <w:i/>
        </w:rPr>
        <w:t>Opuz</w:t>
      </w:r>
      <w:r w:rsidR="00A411D1" w:rsidRPr="00B94E33">
        <w:rPr>
          <w:rFonts w:eastAsia="Calibri"/>
        </w:rPr>
        <w:t>):</w:t>
      </w:r>
    </w:p>
    <w:p w:rsidR="00A411D1" w:rsidRPr="00B94E33" w:rsidRDefault="009A4363" w:rsidP="00B94E33">
      <w:pPr>
        <w:pStyle w:val="OpiQuot"/>
        <w:rPr>
          <w:rFonts w:eastAsia="Calibri"/>
        </w:rPr>
      </w:pPr>
      <w:r w:rsidRPr="00B94E33">
        <w:rPr>
          <w:rFonts w:eastAsia="Calibri"/>
        </w:rPr>
        <w:t>“</w:t>
      </w:r>
      <w:r w:rsidR="00A411D1" w:rsidRPr="00B94E33">
        <w:rPr>
          <w:rFonts w:eastAsia="Calibri"/>
        </w:rPr>
        <w:t>96. In support of these findings the Court relied on the Turkish Government</w:t>
      </w:r>
      <w:r w:rsidR="00B94E33" w:rsidRPr="00B94E33">
        <w:rPr>
          <w:rFonts w:eastAsia="Calibri"/>
        </w:rPr>
        <w:t>’</w:t>
      </w:r>
      <w:r w:rsidR="00A411D1" w:rsidRPr="00B94E33">
        <w:rPr>
          <w:rFonts w:eastAsia="Calibri"/>
        </w:rPr>
        <w:t>s recognition of the general attitude of the local authorities, such as the manner in which the women were treated at police stations when they reported domestic violence, and judicial passivity in providing effective protection to vi</w:t>
      </w:r>
      <w:r w:rsidR="004B031B" w:rsidRPr="00B94E33">
        <w:rPr>
          <w:rFonts w:eastAsia="Calibri"/>
        </w:rPr>
        <w:t xml:space="preserve">ctims (see </w:t>
      </w:r>
      <w:r w:rsidR="004B031B" w:rsidRPr="00B94E33">
        <w:rPr>
          <w:rFonts w:eastAsia="Calibri"/>
          <w:i/>
        </w:rPr>
        <w:t>Opuz</w:t>
      </w:r>
      <w:r w:rsidR="004B031B" w:rsidRPr="00B94E33">
        <w:rPr>
          <w:rFonts w:eastAsia="Calibri"/>
        </w:rPr>
        <w:t>, cited above, § </w:t>
      </w:r>
      <w:r w:rsidR="00A411D1" w:rsidRPr="00B94E33">
        <w:rPr>
          <w:rFonts w:eastAsia="Calibri"/>
        </w:rPr>
        <w:t xml:space="preserve">192). Furthermore, the reports submitted indicated that when victims reported domestic violence to police stations, police officers did not investigate their complaints but sought to assume the role of mediator by trying to convince the victims to return home and drop their complaint. In this connection, police officers considered the problem as a family matter with which they could not interfere (see </w:t>
      </w:r>
      <w:r w:rsidR="00A411D1" w:rsidRPr="00B94E33">
        <w:rPr>
          <w:rFonts w:eastAsia="Calibri"/>
          <w:i/>
        </w:rPr>
        <w:t>Opuz</w:t>
      </w:r>
      <w:r w:rsidR="00A411D1" w:rsidRPr="00B94E33">
        <w:rPr>
          <w:rFonts w:eastAsia="Calibri"/>
        </w:rPr>
        <w:t xml:space="preserve">, cited above, §§ 92, 96, 102 and 195). The reports also showed that there were unreasonable delays in issuing injunctions and in serving injunctions on the aggressors, given the negative attitude of the police officers. Moreover, the perpetrators of domestic violence did not seem to receive dissuasive punishments, because the courts mitigated sentences on the grounds of custom, tradition or honour (see </w:t>
      </w:r>
      <w:r w:rsidR="00A411D1" w:rsidRPr="00B94E33">
        <w:rPr>
          <w:rFonts w:eastAsia="Calibri"/>
          <w:i/>
        </w:rPr>
        <w:t>Opuz</w:t>
      </w:r>
      <w:r w:rsidR="00A411D1" w:rsidRPr="00B94E33">
        <w:rPr>
          <w:rFonts w:eastAsia="Calibri"/>
        </w:rPr>
        <w:t>, cited above, §§</w:t>
      </w:r>
      <w:r w:rsidR="00960867" w:rsidRPr="00B94E33">
        <w:rPr>
          <w:rFonts w:eastAsia="Calibri"/>
        </w:rPr>
        <w:t> </w:t>
      </w:r>
      <w:r w:rsidR="00A411D1" w:rsidRPr="00B94E33">
        <w:rPr>
          <w:rFonts w:eastAsia="Calibri"/>
        </w:rPr>
        <w:t>91-93, 95, 101, 103, 106 and 196).</w:t>
      </w:r>
    </w:p>
    <w:p w:rsidR="00A411D1" w:rsidRPr="00B94E33" w:rsidRDefault="00A411D1" w:rsidP="00B94E33">
      <w:pPr>
        <w:pStyle w:val="OpiQuot"/>
        <w:rPr>
          <w:rFonts w:eastAsia="Calibri"/>
        </w:rPr>
      </w:pPr>
      <w:r w:rsidRPr="00B94E33">
        <w:rPr>
          <w:rFonts w:eastAsia="Calibri"/>
        </w:rPr>
        <w:lastRenderedPageBreak/>
        <w:t xml:space="preserve">97. The Court notes at the outset that in the present case the applicant has not submitted any reports in respect of Croatia of the kind concerning Turkey in the </w:t>
      </w:r>
      <w:r w:rsidRPr="00B94E33">
        <w:rPr>
          <w:rFonts w:eastAsia="Calibri"/>
          <w:i/>
        </w:rPr>
        <w:t>Opuz</w:t>
      </w:r>
      <w:r w:rsidRPr="00B94E33">
        <w:rPr>
          <w:rFonts w:eastAsia="Calibri"/>
        </w:rPr>
        <w:t xml:space="preserve"> case. There is not sufficient statistical or other information disclosing an appearance of discriminatory treatment of women who are victims of domestic violence on the part of the Croatian authorities such as the police, law-enforcement or health-care personnel, social services, prosecutors or judges of the courts of law. The applicant did not allege that any of the officials involved in the cases concerning the acts of violence against her had tried to dissuade her from pursuing the prosecution of B or giving evidence in the proceedings instituted against him, or that they had tried in any other manner to hamper her efforts to seek protection against B</w:t>
      </w:r>
      <w:r w:rsidR="00B94E33" w:rsidRPr="00B94E33">
        <w:rPr>
          <w:rFonts w:eastAsia="Calibri"/>
        </w:rPr>
        <w:t>’</w:t>
      </w:r>
      <w:r w:rsidRPr="00B94E33">
        <w:rPr>
          <w:rFonts w:eastAsia="Calibri"/>
        </w:rPr>
        <w:t>s violence.</w:t>
      </w:r>
    </w:p>
    <w:p w:rsidR="00A411D1" w:rsidRPr="00B94E33" w:rsidRDefault="009A4363" w:rsidP="00B94E33">
      <w:pPr>
        <w:pStyle w:val="OpiQuot"/>
        <w:rPr>
          <w:rFonts w:eastAsia="Calibri"/>
        </w:rPr>
      </w:pPr>
      <w:r w:rsidRPr="00B94E33">
        <w:rPr>
          <w:rFonts w:eastAsia="Calibri"/>
        </w:rPr>
        <w:t>...</w:t>
      </w:r>
    </w:p>
    <w:p w:rsidR="00A411D1" w:rsidRPr="00B94E33" w:rsidRDefault="00A411D1" w:rsidP="00B94E33">
      <w:pPr>
        <w:pStyle w:val="OpiQuot"/>
        <w:rPr>
          <w:rFonts w:eastAsia="Calibri"/>
        </w:rPr>
      </w:pPr>
      <w:r w:rsidRPr="00B94E33">
        <w:rPr>
          <w:rFonts w:eastAsia="Calibri"/>
        </w:rPr>
        <w:t>101. The Court has already established that not all the sanctions and measures ordered or recommended in the context of these proceedings were complied with. While this failure appears problematic from the standpoint of Article 8 of the Convention, it does not in itself disclose an appearance of discrimination or discriminatory intent on the basis of gender in respect of the applicant.</w:t>
      </w:r>
      <w:r w:rsidR="009A4363" w:rsidRPr="00B94E33">
        <w:rPr>
          <w:rFonts w:eastAsia="Calibri"/>
        </w:rPr>
        <w:t>”</w:t>
      </w:r>
    </w:p>
    <w:p w:rsidR="00A411D1" w:rsidRPr="00B94E33" w:rsidRDefault="00553CFB" w:rsidP="00B94E33">
      <w:pPr>
        <w:pStyle w:val="OpiPara"/>
        <w:rPr>
          <w:rFonts w:eastAsia="Calibri"/>
        </w:rPr>
      </w:pPr>
      <w:r w:rsidRPr="00B94E33">
        <w:rPr>
          <w:rFonts w:eastAsia="Calibri"/>
        </w:rPr>
        <w:t>19.  </w:t>
      </w:r>
      <w:r w:rsidR="00A411D1" w:rsidRPr="00B94E33">
        <w:rPr>
          <w:rFonts w:eastAsia="Calibri"/>
        </w:rPr>
        <w:t>This jurisprudence makes clear that:</w:t>
      </w:r>
    </w:p>
    <w:p w:rsidR="009A4363" w:rsidRPr="00B94E33" w:rsidRDefault="00960867" w:rsidP="00B94E33">
      <w:pPr>
        <w:pStyle w:val="OpiParaSub"/>
        <w:rPr>
          <w:rFonts w:eastAsia="Calibri"/>
        </w:rPr>
      </w:pPr>
      <w:r w:rsidRPr="00B94E33">
        <w:rPr>
          <w:rFonts w:eastAsia="Calibri"/>
        </w:rPr>
        <w:t>a.  </w:t>
      </w:r>
      <w:r w:rsidR="00A411D1" w:rsidRPr="00B94E33">
        <w:rPr>
          <w:rFonts w:eastAsia="Calibri"/>
        </w:rPr>
        <w:t>The assessment under Article 14 read with Articles 2 and/or 3 was distinct from any analysis in relation to any alleged breach of the positive obligations under those Articles 2 and/or 3 in relation to the circumstances of the particular applicant;</w:t>
      </w:r>
    </w:p>
    <w:p w:rsidR="00A411D1" w:rsidRPr="00B94E33" w:rsidRDefault="00960867" w:rsidP="00B94E33">
      <w:pPr>
        <w:pStyle w:val="OpiParaSub"/>
        <w:rPr>
          <w:rFonts w:eastAsia="Calibri"/>
        </w:rPr>
      </w:pPr>
      <w:r w:rsidRPr="00B94E33">
        <w:rPr>
          <w:rFonts w:eastAsia="Calibri"/>
        </w:rPr>
        <w:t>b.  </w:t>
      </w:r>
      <w:r w:rsidR="00A411D1" w:rsidRPr="00B94E33">
        <w:rPr>
          <w:rFonts w:eastAsia="Calibri"/>
        </w:rPr>
        <w:t>Absent any evidence that the officers involved in the individual case were acting in a discriminatory manner or with discriminatory intent towards the particular applicant, of which there was no evidence in those cases and is no evidence in the present case, a breach of Article 14 would arise only where there were systemic failings which arose out of a clear and systemic (even if not intentional) failure of the national authorities to appreciate and address the seriousness and extent of the problem of domestic violence within their jurisdiction and its discriminatory effect on women; and</w:t>
      </w:r>
    </w:p>
    <w:p w:rsidR="00A411D1" w:rsidRPr="00B94E33" w:rsidRDefault="00960867" w:rsidP="00B94E33">
      <w:pPr>
        <w:pStyle w:val="OpiParaSub"/>
        <w:rPr>
          <w:rFonts w:eastAsia="Calibri"/>
        </w:rPr>
      </w:pPr>
      <w:r w:rsidRPr="00B94E33">
        <w:rPr>
          <w:rFonts w:eastAsia="Calibri"/>
        </w:rPr>
        <w:t>c.  </w:t>
      </w:r>
      <w:r w:rsidR="00A411D1" w:rsidRPr="00B94E33">
        <w:rPr>
          <w:rFonts w:eastAsia="Calibri"/>
        </w:rPr>
        <w:t>The failure to apply the “sanctions and measures” existing in national law in the circumstances of the particular case before the Court, while potentially problematic under Articles 2, 3 or 8 of the Convention, is not, in itself, sufficient to engage Article 14 of the Convention so as to shift the burden of proof to the respondent government to show that any difference in treatment is not discriminatory.</w:t>
      </w:r>
    </w:p>
    <w:p w:rsidR="00A411D1" w:rsidRPr="00B94E33" w:rsidRDefault="00213AD8" w:rsidP="00B94E33">
      <w:pPr>
        <w:pStyle w:val="OpiPara"/>
        <w:rPr>
          <w:rFonts w:eastAsia="Calibri"/>
        </w:rPr>
      </w:pPr>
      <w:r w:rsidRPr="00B94E33">
        <w:rPr>
          <w:rFonts w:eastAsia="Calibri"/>
        </w:rPr>
        <w:t>20.  </w:t>
      </w:r>
      <w:r w:rsidR="00A411D1" w:rsidRPr="00B94E33">
        <w:rPr>
          <w:rFonts w:eastAsia="Calibri"/>
        </w:rPr>
        <w:t xml:space="preserve">This is the context and background for the decision of this Court, as recently as 27 May 2014, in </w:t>
      </w:r>
      <w:r w:rsidR="00A411D1" w:rsidRPr="00B94E33">
        <w:rPr>
          <w:rFonts w:eastAsia="Calibri"/>
          <w:i/>
        </w:rPr>
        <w:t>Rumor v. Italy</w:t>
      </w:r>
      <w:r w:rsidR="004B031B" w:rsidRPr="00B94E33">
        <w:rPr>
          <w:rFonts w:eastAsia="Calibri"/>
        </w:rPr>
        <w:t>, no. </w:t>
      </w:r>
      <w:r w:rsidR="00A411D1" w:rsidRPr="00B94E33">
        <w:rPr>
          <w:rFonts w:eastAsia="Calibri"/>
        </w:rPr>
        <w:t>72964/10.</w:t>
      </w:r>
      <w:r w:rsidR="009A4363" w:rsidRPr="00B94E33">
        <w:rPr>
          <w:rFonts w:eastAsia="Calibri"/>
        </w:rPr>
        <w:t xml:space="preserve"> </w:t>
      </w:r>
      <w:r w:rsidR="00A411D1" w:rsidRPr="00B94E33">
        <w:rPr>
          <w:rFonts w:eastAsia="Calibri"/>
        </w:rPr>
        <w:t>In that case, this Court was invited to consider the situation in Italy on the basis of a complaint by the applicant in that case that the “omissions and the inadequacy of the domestic legislative framework in combating domestic violence proved that she had been discriminated against on the basis of her gender” (§ 36).</w:t>
      </w:r>
      <w:r w:rsidR="009A4363" w:rsidRPr="00B94E33">
        <w:rPr>
          <w:rFonts w:eastAsia="Calibri"/>
        </w:rPr>
        <w:t xml:space="preserve"> </w:t>
      </w:r>
      <w:r w:rsidR="00A411D1" w:rsidRPr="00B94E33">
        <w:rPr>
          <w:rFonts w:eastAsia="Calibri"/>
        </w:rPr>
        <w:t>Having considered the applicant</w:t>
      </w:r>
      <w:r w:rsidR="00B94E33" w:rsidRPr="00B94E33">
        <w:rPr>
          <w:rFonts w:eastAsia="Calibri"/>
        </w:rPr>
        <w:t>’</w:t>
      </w:r>
      <w:r w:rsidR="00A411D1" w:rsidRPr="00B94E33">
        <w:rPr>
          <w:rFonts w:eastAsia="Calibri"/>
        </w:rPr>
        <w:t>s complaint, the Court, however, concluded in unqualified terms that:</w:t>
      </w:r>
    </w:p>
    <w:p w:rsidR="00A411D1" w:rsidRPr="00B94E33" w:rsidRDefault="009A4363" w:rsidP="00B94E33">
      <w:pPr>
        <w:pStyle w:val="OpiQuot"/>
        <w:rPr>
          <w:rFonts w:eastAsia="Calibri"/>
        </w:rPr>
      </w:pPr>
      <w:r w:rsidRPr="00B94E33">
        <w:rPr>
          <w:rFonts w:eastAsia="Calibri"/>
        </w:rPr>
        <w:lastRenderedPageBreak/>
        <w:t>“...</w:t>
      </w:r>
      <w:r w:rsidR="00A411D1" w:rsidRPr="00B94E33">
        <w:rPr>
          <w:rFonts w:eastAsia="Calibri"/>
        </w:rPr>
        <w:t xml:space="preserve"> the authorities had put in place a legislative framework allowing them to take measures against persons accused of domestic violence and that that framework was effective in punishing the perpetrator of the crime of which the applicant was victim and preventing the recurrence of violent attacks against her physical integrity. (§ 76)</w:t>
      </w:r>
      <w:r w:rsidRPr="00B94E33">
        <w:rPr>
          <w:rFonts w:eastAsia="Calibri"/>
        </w:rPr>
        <w:t>”</w:t>
      </w:r>
    </w:p>
    <w:p w:rsidR="00A411D1" w:rsidRPr="00B94E33" w:rsidRDefault="00213AD8" w:rsidP="00B94E33">
      <w:pPr>
        <w:pStyle w:val="OpiPara"/>
        <w:rPr>
          <w:rFonts w:eastAsia="Calibri"/>
        </w:rPr>
      </w:pPr>
      <w:r w:rsidRPr="00B94E33">
        <w:rPr>
          <w:rFonts w:eastAsia="Calibri"/>
        </w:rPr>
        <w:t>21.  </w:t>
      </w:r>
      <w:r w:rsidR="00A411D1" w:rsidRPr="00B94E33">
        <w:rPr>
          <w:rFonts w:eastAsia="Calibri"/>
        </w:rPr>
        <w:t xml:space="preserve">As a consequence, the question for the Court in the present case was not only (to us the language in </w:t>
      </w:r>
      <w:r w:rsidR="00A411D1" w:rsidRPr="00B94E33">
        <w:rPr>
          <w:rFonts w:eastAsia="Calibri"/>
          <w:i/>
        </w:rPr>
        <w:t>A v Croatia</w:t>
      </w:r>
      <w:r w:rsidR="00A411D1" w:rsidRPr="00B94E33">
        <w:rPr>
          <w:rFonts w:eastAsia="Calibri"/>
        </w:rPr>
        <w:t xml:space="preserve">) whether the Applicant had produced “sufficient statistical or other information disclosing an appearance of discriminatory treatment of women who are victims of domestic violence on the part of the </w:t>
      </w:r>
      <w:r w:rsidR="009A4363" w:rsidRPr="00B94E33">
        <w:rPr>
          <w:rFonts w:eastAsia="Calibri"/>
        </w:rPr>
        <w:t>...</w:t>
      </w:r>
      <w:r w:rsidR="00A411D1" w:rsidRPr="00B94E33">
        <w:rPr>
          <w:rFonts w:eastAsia="Calibri"/>
        </w:rPr>
        <w:t xml:space="preserve"> authorities such as the police, law-enforcement or health-care personnel, social services, prosecutors or judges of the courts of law”</w:t>
      </w:r>
      <w:r w:rsidR="00A411D1" w:rsidRPr="00B94E33">
        <w:rPr>
          <w:rFonts w:eastAsia="Calibri"/>
          <w:i/>
        </w:rPr>
        <w:t xml:space="preserve"> </w:t>
      </w:r>
      <w:r w:rsidR="00A411D1" w:rsidRPr="00B94E33">
        <w:rPr>
          <w:rFonts w:eastAsia="Calibri"/>
        </w:rPr>
        <w:t xml:space="preserve">but whether she had produced sufficient such evidence to justify a conclusion by this Court either that, in light of such further evidence, its decision in </w:t>
      </w:r>
      <w:r w:rsidR="00A411D1" w:rsidRPr="00B94E33">
        <w:rPr>
          <w:rFonts w:eastAsia="Calibri"/>
          <w:i/>
        </w:rPr>
        <w:t xml:space="preserve">Rumor </w:t>
      </w:r>
      <w:r w:rsidR="00A411D1" w:rsidRPr="00B94E33">
        <w:rPr>
          <w:rFonts w:eastAsia="Calibri"/>
        </w:rPr>
        <w:t>had been wrong (or, at the very least, premature) or that changes in the legislative and policy environment in Italy had changed sufficiently since 2014 to enable the Court to conclude that, whereas the Italian system was compliant with Article 14 then, it no longer was so compliant in 2017.</w:t>
      </w:r>
    </w:p>
    <w:p w:rsidR="00A411D1" w:rsidRPr="00B94E33" w:rsidRDefault="00213AD8" w:rsidP="00B94E33">
      <w:pPr>
        <w:pStyle w:val="OpiPara"/>
        <w:rPr>
          <w:rFonts w:eastAsia="Calibri"/>
        </w:rPr>
      </w:pPr>
      <w:r w:rsidRPr="00B94E33">
        <w:rPr>
          <w:rFonts w:eastAsia="Calibri"/>
        </w:rPr>
        <w:t>22.  </w:t>
      </w:r>
      <w:r w:rsidR="00A411D1" w:rsidRPr="00B94E33">
        <w:rPr>
          <w:rFonts w:eastAsia="Calibri"/>
        </w:rPr>
        <w:t>If one considers the material relied upon in the judgment (§§</w:t>
      </w:r>
      <w:r w:rsidR="001F016F" w:rsidRPr="00B94E33">
        <w:rPr>
          <w:rFonts w:eastAsia="Calibri"/>
        </w:rPr>
        <w:t> </w:t>
      </w:r>
      <w:r w:rsidR="00A411D1" w:rsidRPr="00B94E33">
        <w:rPr>
          <w:rFonts w:eastAsia="Calibri"/>
        </w:rPr>
        <w:t xml:space="preserve">55-60) it becomes clear that, in fact, with one exception, none of the material relied upon post-dates the judgment in </w:t>
      </w:r>
      <w:r w:rsidR="00A411D1" w:rsidRPr="00B94E33">
        <w:rPr>
          <w:rFonts w:eastAsia="Calibri"/>
          <w:i/>
        </w:rPr>
        <w:t>Rumor</w:t>
      </w:r>
      <w:r w:rsidR="00A411D1" w:rsidRPr="00B94E33">
        <w:rPr>
          <w:rFonts w:eastAsia="Calibri"/>
        </w:rPr>
        <w:t xml:space="preserve"> and is of such a nature as not to have been available either to the parties or to the Court in that case.</w:t>
      </w:r>
      <w:r w:rsidR="009A4363" w:rsidRPr="00B94E33">
        <w:rPr>
          <w:rFonts w:eastAsia="Calibri"/>
        </w:rPr>
        <w:t xml:space="preserve"> </w:t>
      </w:r>
      <w:r w:rsidR="00A411D1" w:rsidRPr="00B94E33">
        <w:rPr>
          <w:rFonts w:eastAsia="Calibri"/>
        </w:rPr>
        <w:t xml:space="preserve">The one document referred to that (just) post-dates the </w:t>
      </w:r>
      <w:r w:rsidR="00A411D1" w:rsidRPr="00B94E33">
        <w:rPr>
          <w:rFonts w:eastAsia="Calibri"/>
          <w:i/>
        </w:rPr>
        <w:t>Rumor</w:t>
      </w:r>
      <w:r w:rsidR="00A411D1" w:rsidRPr="00B94E33">
        <w:rPr>
          <w:rFonts w:eastAsia="Calibri"/>
        </w:rPr>
        <w:t xml:space="preserve"> judgment is the Report “Violence against Women” (2014) of the National Statistics Bureau of Italy (ISTAT), quoted in § 55 of the judgment. While providing a (still) depressing picture as to the number of women who are victims of sexual or physical violence in Italy, most frequently at the hands of current or former partners, that Report provides little to no evidence to support the conclusion that there is “an appearance of discriminatory treatment of women who are victims of domest</w:t>
      </w:r>
      <w:r w:rsidR="009A4363" w:rsidRPr="00B94E33">
        <w:rPr>
          <w:rFonts w:eastAsia="Calibri"/>
        </w:rPr>
        <w:t>ic violence on the part of the ...</w:t>
      </w:r>
      <w:r w:rsidR="00A411D1" w:rsidRPr="00B94E33">
        <w:rPr>
          <w:rFonts w:eastAsia="Calibri"/>
        </w:rPr>
        <w:t xml:space="preserve"> authorities such as the police, law-enforcement or health-care personnel, social services, prosecutors or judges of the courts of law”. For what it is worth, the Report, in fact, appears to record a reduction in the number of cases of physical or sexual violence committed by a partner or former partner and notes that, compared to the 2006 ISTAT report, there is an increased awareness that domestic violence is a crime and it is reported far more often to the police.</w:t>
      </w:r>
      <w:r w:rsidR="009A4363" w:rsidRPr="00B94E33">
        <w:rPr>
          <w:rFonts w:eastAsia="Calibri"/>
        </w:rPr>
        <w:t xml:space="preserve"> </w:t>
      </w:r>
      <w:r w:rsidR="00A411D1" w:rsidRPr="00B94E33">
        <w:rPr>
          <w:rFonts w:eastAsia="Calibri"/>
        </w:rPr>
        <w:t>The Report also notes that “survivors are far more satisfied with the relevant work carried out by the police.</w:t>
      </w:r>
      <w:r w:rsidR="009A4363" w:rsidRPr="00B94E33">
        <w:rPr>
          <w:rFonts w:eastAsia="Calibri"/>
        </w:rPr>
        <w:t xml:space="preserve"> </w:t>
      </w:r>
      <w:r w:rsidR="00A411D1" w:rsidRPr="00B94E33">
        <w:rPr>
          <w:rFonts w:eastAsia="Calibri"/>
        </w:rPr>
        <w:t>In the event of violence from the current or the former partner, data shows an increase from 9.9% to 28.5%”.</w:t>
      </w:r>
    </w:p>
    <w:p w:rsidR="00A411D1" w:rsidRPr="00B94E33" w:rsidRDefault="00213AD8" w:rsidP="00B94E33">
      <w:pPr>
        <w:pStyle w:val="OpiPara"/>
        <w:rPr>
          <w:rFonts w:eastAsia="Calibri"/>
        </w:rPr>
      </w:pPr>
      <w:r w:rsidRPr="00B94E33">
        <w:rPr>
          <w:rFonts w:eastAsia="Calibri"/>
        </w:rPr>
        <w:t>23.  </w:t>
      </w:r>
      <w:r w:rsidR="00A411D1" w:rsidRPr="00B94E33">
        <w:rPr>
          <w:rFonts w:eastAsia="Calibri"/>
        </w:rPr>
        <w:t xml:space="preserve">In any event, it seems to me that where the Court considers (as the majority in this case must be assumed to have considered) that there is sufficient evidence for it to reach the conclusion either that a prior decision was wrong or premature or that the legislative situation in a respondent State had changed sufficiently to now warrant a finding of a violation, it would be prudent for the Court to identify (both for the benefit of the </w:t>
      </w:r>
      <w:r w:rsidR="00A411D1" w:rsidRPr="00B94E33">
        <w:rPr>
          <w:rFonts w:eastAsia="Calibri"/>
        </w:rPr>
        <w:lastRenderedPageBreak/>
        <w:t>Respondent Government as well as for the Committee of Ministers who is charged with supervising the enforcement of this judgment)</w:t>
      </w:r>
      <w:r w:rsidR="004B031B" w:rsidRPr="00B94E33">
        <w:rPr>
          <w:rFonts w:eastAsia="Calibri"/>
        </w:rPr>
        <w:t>.</w:t>
      </w:r>
    </w:p>
    <w:p w:rsidR="00A411D1" w:rsidRPr="00B94E33" w:rsidRDefault="00960867" w:rsidP="00B94E33">
      <w:pPr>
        <w:pStyle w:val="OpiParaSub"/>
        <w:rPr>
          <w:rFonts w:eastAsia="Calibri"/>
        </w:rPr>
      </w:pPr>
      <w:r w:rsidRPr="00B94E33">
        <w:rPr>
          <w:rFonts w:eastAsia="Calibri"/>
        </w:rPr>
        <w:t>a.  </w:t>
      </w:r>
      <w:r w:rsidR="00A411D1" w:rsidRPr="00B94E33">
        <w:rPr>
          <w:rFonts w:eastAsia="Calibri"/>
        </w:rPr>
        <w:t>Which of these conclusions it had reached; and</w:t>
      </w:r>
    </w:p>
    <w:p w:rsidR="009A4363" w:rsidRPr="00B94E33" w:rsidRDefault="00960867" w:rsidP="00B94E33">
      <w:pPr>
        <w:pStyle w:val="OpiParaSub"/>
        <w:rPr>
          <w:rFonts w:eastAsia="Calibri"/>
        </w:rPr>
      </w:pPr>
      <w:r w:rsidRPr="00B94E33">
        <w:rPr>
          <w:rFonts w:eastAsia="Calibri"/>
        </w:rPr>
        <w:t>b.  </w:t>
      </w:r>
      <w:r w:rsidR="00A411D1" w:rsidRPr="00B94E33">
        <w:rPr>
          <w:rFonts w:eastAsia="Calibri"/>
        </w:rPr>
        <w:t>If the latter, which were the developments since the last judgment which meant that a system which had been compliant had now become deficient.</w:t>
      </w:r>
    </w:p>
    <w:p w:rsidR="00A411D1" w:rsidRPr="00B94E33" w:rsidRDefault="00A411D1" w:rsidP="00B94E33">
      <w:pPr>
        <w:pStyle w:val="OpiPara"/>
        <w:rPr>
          <w:rFonts w:eastAsia="Calibri"/>
        </w:rPr>
      </w:pPr>
      <w:r w:rsidRPr="00B94E33">
        <w:rPr>
          <w:rFonts w:eastAsia="Calibri"/>
        </w:rPr>
        <w:t xml:space="preserve">A mere assertion, as in § 147 of the judgment, that the factual circumstances in </w:t>
      </w:r>
      <w:r w:rsidRPr="00B94E33">
        <w:rPr>
          <w:rFonts w:eastAsia="Calibri"/>
          <w:i/>
        </w:rPr>
        <w:t>Rumor</w:t>
      </w:r>
      <w:r w:rsidRPr="00B94E33">
        <w:rPr>
          <w:rFonts w:eastAsia="Calibri"/>
        </w:rPr>
        <w:t xml:space="preserve"> were “clearly” different to those of the present case seems to me neither capable of justifying the finding of a violation under Article 14 nor capable of explaining either why the conclusion in § 76 of </w:t>
      </w:r>
      <w:r w:rsidRPr="00B94E33">
        <w:rPr>
          <w:rFonts w:eastAsia="Calibri"/>
          <w:i/>
        </w:rPr>
        <w:t>Rumor</w:t>
      </w:r>
      <w:r w:rsidRPr="00B94E33">
        <w:rPr>
          <w:rFonts w:eastAsia="Calibri"/>
        </w:rPr>
        <w:t xml:space="preserve"> had been mistaken or premature or what had changed since 2014 to justify the conclusion now that the Italian “legislative framework” had become deficient.</w:t>
      </w:r>
    </w:p>
    <w:p w:rsidR="00A411D1" w:rsidRPr="00B94E33" w:rsidRDefault="00A411D1" w:rsidP="00B94E33">
      <w:pPr>
        <w:contextualSpacing/>
        <w:rPr>
          <w:rFonts w:ascii="Times New Roman" w:eastAsia="Calibri" w:hAnsi="Times New Roman" w:cs="Times New Roman"/>
          <w:szCs w:val="24"/>
        </w:rPr>
      </w:pPr>
    </w:p>
    <w:p w:rsidR="00713619" w:rsidRPr="00B94E33" w:rsidRDefault="00713619" w:rsidP="00B94E33">
      <w:pPr>
        <w:pStyle w:val="OpiPara"/>
      </w:pPr>
      <w:r w:rsidRPr="00B94E33">
        <w:br w:type="page"/>
      </w:r>
    </w:p>
    <w:p w:rsidR="00713619" w:rsidRPr="00B94E33" w:rsidRDefault="00713619" w:rsidP="00B94E33">
      <w:pPr>
        <w:pStyle w:val="ECHRTitleCentre1"/>
        <w:rPr>
          <w:lang w:val="en-GB"/>
        </w:rPr>
      </w:pPr>
      <w:r w:rsidRPr="00B94E33">
        <w:rPr>
          <w:lang w:val="en-GB"/>
        </w:rPr>
        <w:lastRenderedPageBreak/>
        <w:t>PARTLY DISSENTING OPINION OF JUDGE SPANO</w:t>
      </w:r>
    </w:p>
    <w:p w:rsidR="00713619" w:rsidRPr="00B94E33" w:rsidRDefault="004B031B" w:rsidP="00B94E33">
      <w:pPr>
        <w:pStyle w:val="OpiHA0"/>
        <w:rPr>
          <w:lang w:val="en-GB"/>
        </w:rPr>
      </w:pPr>
      <w:r w:rsidRPr="00B94E33">
        <w:rPr>
          <w:lang w:val="en-GB"/>
        </w:rPr>
        <w:t>I.  </w:t>
      </w:r>
      <w:r w:rsidR="00713619" w:rsidRPr="00B94E33">
        <w:rPr>
          <w:lang w:val="en-GB"/>
        </w:rPr>
        <w:t>Preliminary remarks</w:t>
      </w:r>
    </w:p>
    <w:p w:rsidR="00713619" w:rsidRPr="00B94E33" w:rsidRDefault="00713619" w:rsidP="00B94E33">
      <w:pPr>
        <w:pStyle w:val="OpiPara"/>
        <w:rPr>
          <w:lang w:val="en-GB"/>
        </w:rPr>
      </w:pPr>
      <w:r w:rsidRPr="00B94E33">
        <w:rPr>
          <w:lang w:val="en-GB"/>
        </w:rPr>
        <w:t>1.</w:t>
      </w:r>
      <w:r w:rsidR="00137E7F" w:rsidRPr="00B94E33">
        <w:rPr>
          <w:lang w:val="en-GB"/>
        </w:rPr>
        <w:t>  </w:t>
      </w:r>
      <w:r w:rsidRPr="00B94E33">
        <w:rPr>
          <w:lang w:val="en-GB"/>
        </w:rPr>
        <w:t>The law has its limits, even human rights law. When a claim is made that the State did not take reasonable steps to prevent the taking of life by another individual, tensions arise between the demands of justice for the relatives of victims and the imposition of unrealistic burdens on law enforcement agents governed by the rule of law. The judicial resolution of such disputes, arising as they do from tragic events, thus requires that a delicate balance be struck between these two conflicting interests based on the objective and dispassionate appli</w:t>
      </w:r>
      <w:r w:rsidRPr="00B94E33">
        <w:rPr>
          <w:lang w:val="en-GB"/>
        </w:rPr>
        <w:softHyphen/>
        <w:t>cation of clear and foreseeable legal standards. As the Court</w:t>
      </w:r>
      <w:r w:rsidR="00B94E33" w:rsidRPr="00B94E33">
        <w:rPr>
          <w:lang w:val="en-GB"/>
        </w:rPr>
        <w:t>’</w:t>
      </w:r>
      <w:r w:rsidRPr="00B94E33">
        <w:rPr>
          <w:lang w:val="en-GB"/>
        </w:rPr>
        <w:t>s application of the settled principles under Article</w:t>
      </w:r>
      <w:r w:rsidR="00137E7F" w:rsidRPr="00B94E33">
        <w:rPr>
          <w:lang w:val="en-GB"/>
        </w:rPr>
        <w:t> </w:t>
      </w:r>
      <w:r w:rsidRPr="00B94E33">
        <w:rPr>
          <w:lang w:val="en-GB"/>
        </w:rPr>
        <w:t>2 of the Convention to the facts of the present case unduly strikes the balance in favour of the former, without adequately taking account of the latter, I respectfully dissent from the majority</w:t>
      </w:r>
      <w:r w:rsidR="00B94E33" w:rsidRPr="00B94E33">
        <w:rPr>
          <w:lang w:val="en-GB"/>
        </w:rPr>
        <w:t>’</w:t>
      </w:r>
      <w:r w:rsidRPr="00B94E33">
        <w:rPr>
          <w:lang w:val="en-GB"/>
        </w:rPr>
        <w:t>s finding of a violation of Article 2, as I will explain in more detail in Part II of this opinion. Also, and for the reasons elaborated in Part III below, I disagree with the Court</w:t>
      </w:r>
      <w:r w:rsidR="00B94E33" w:rsidRPr="00B94E33">
        <w:rPr>
          <w:lang w:val="en-GB"/>
        </w:rPr>
        <w:t>’</w:t>
      </w:r>
      <w:r w:rsidRPr="00B94E33">
        <w:rPr>
          <w:lang w:val="en-GB"/>
        </w:rPr>
        <w:t>s finding of a violation of Article 14 taken in conj</w:t>
      </w:r>
      <w:r w:rsidR="009A4363" w:rsidRPr="00B94E33">
        <w:rPr>
          <w:lang w:val="en-GB"/>
        </w:rPr>
        <w:t>unction with Articles 2 and </w:t>
      </w:r>
      <w:r w:rsidRPr="00B94E33">
        <w:rPr>
          <w:lang w:val="en-GB"/>
        </w:rPr>
        <w:t>3 of the Convention.</w:t>
      </w:r>
    </w:p>
    <w:p w:rsidR="009A4363" w:rsidRPr="00B94E33" w:rsidRDefault="004B031B" w:rsidP="00B94E33">
      <w:pPr>
        <w:pStyle w:val="OpiHA0"/>
        <w:rPr>
          <w:lang w:val="en-GB"/>
        </w:rPr>
      </w:pPr>
      <w:r w:rsidRPr="00B94E33">
        <w:rPr>
          <w:lang w:val="en-GB"/>
        </w:rPr>
        <w:t>II.  </w:t>
      </w:r>
      <w:r w:rsidR="00713619" w:rsidRPr="00B94E33">
        <w:rPr>
          <w:lang w:val="en-GB"/>
        </w:rPr>
        <w:t>The State</w:t>
      </w:r>
      <w:r w:rsidR="00B94E33" w:rsidRPr="00B94E33">
        <w:rPr>
          <w:lang w:val="en-GB"/>
        </w:rPr>
        <w:t>’</w:t>
      </w:r>
      <w:r w:rsidR="00713619" w:rsidRPr="00B94E33">
        <w:rPr>
          <w:lang w:val="en-GB"/>
        </w:rPr>
        <w:t>s preventive obligation to protect life under Article 2 of the Convention – the Osman test and domestic violence</w:t>
      </w:r>
    </w:p>
    <w:p w:rsidR="009A4363" w:rsidRPr="00B94E33" w:rsidRDefault="00713619" w:rsidP="00B94E33">
      <w:pPr>
        <w:pStyle w:val="OpiPara"/>
        <w:rPr>
          <w:lang w:val="en-GB"/>
        </w:rPr>
      </w:pPr>
      <w:r w:rsidRPr="00B94E33">
        <w:rPr>
          <w:bCs/>
          <w:lang w:val="en-GB"/>
        </w:rPr>
        <w:t>2.</w:t>
      </w:r>
      <w:r w:rsidR="00137E7F" w:rsidRPr="00B94E33">
        <w:rPr>
          <w:bCs/>
          <w:lang w:val="en-GB"/>
        </w:rPr>
        <w:t>  </w:t>
      </w:r>
      <w:r w:rsidRPr="00B94E33">
        <w:rPr>
          <w:lang w:val="en-GB"/>
        </w:rPr>
        <w:t>In the Court</w:t>
      </w:r>
      <w:r w:rsidR="00B94E33" w:rsidRPr="00B94E33">
        <w:rPr>
          <w:lang w:val="en-GB"/>
        </w:rPr>
        <w:t>’</w:t>
      </w:r>
      <w:r w:rsidRPr="00B94E33">
        <w:rPr>
          <w:lang w:val="en-GB"/>
        </w:rPr>
        <w:t xml:space="preserve">s case-law on domestic violence, notably the landmark </w:t>
      </w:r>
      <w:r w:rsidRPr="00B94E33">
        <w:rPr>
          <w:i/>
          <w:lang w:val="en-GB"/>
        </w:rPr>
        <w:t>Opuz v. Turkey</w:t>
      </w:r>
      <w:r w:rsidRPr="00B94E33">
        <w:rPr>
          <w:lang w:val="en-GB"/>
        </w:rPr>
        <w:t xml:space="preserve"> judgment, the Court established that the positive obligation to protect the right to life under Article 2 of the Convention requires domestic authorities to display due diligence, for instance by taking preventive operational measures, in protecting an individual whose life is at risk. In </w:t>
      </w:r>
      <w:r w:rsidRPr="00B94E33">
        <w:rPr>
          <w:i/>
          <w:iCs/>
          <w:lang w:val="en-GB"/>
        </w:rPr>
        <w:t xml:space="preserve">Osman v. the United Kingdom </w:t>
      </w:r>
      <w:r w:rsidRPr="00B94E33">
        <w:rPr>
          <w:lang w:val="en-GB"/>
        </w:rPr>
        <w:t xml:space="preserve">and subsequently in </w:t>
      </w:r>
      <w:r w:rsidRPr="00B94E33">
        <w:rPr>
          <w:i/>
          <w:iCs/>
          <w:lang w:val="en-GB"/>
        </w:rPr>
        <w:t>Opuz v. Turkey</w:t>
      </w:r>
      <w:r w:rsidRPr="00B94E33">
        <w:rPr>
          <w:lang w:val="en-GB"/>
        </w:rPr>
        <w:t xml:space="preserve"> the Court held that “where there is an allegation that the authorities have violated their positive obligation to protect the right to life in the context of their above-mentioned duty to prevent and suppress offences against the person, it must be established to its satisfaction that the authorities knew or ought to have known at the time of the existence of a </w:t>
      </w:r>
      <w:r w:rsidRPr="00B94E33">
        <w:rPr>
          <w:i/>
          <w:lang w:val="en-GB"/>
        </w:rPr>
        <w:t>real and immediate</w:t>
      </w:r>
      <w:r w:rsidRPr="00B94E33">
        <w:rPr>
          <w:lang w:val="en-GB"/>
        </w:rPr>
        <w:t xml:space="preserve"> risk to the life of an identified individual or individuals from the criminal acts of a third party and that they failed to take measures within the scope of their powers which, </w:t>
      </w:r>
      <w:r w:rsidRPr="00B94E33">
        <w:rPr>
          <w:i/>
          <w:lang w:val="en-GB"/>
        </w:rPr>
        <w:t>judged reasonably</w:t>
      </w:r>
      <w:r w:rsidRPr="00B94E33">
        <w:rPr>
          <w:lang w:val="en-GB"/>
        </w:rPr>
        <w:t xml:space="preserve">, might have been expected to avoid that risk” (see </w:t>
      </w:r>
      <w:r w:rsidRPr="00B94E33">
        <w:rPr>
          <w:i/>
          <w:lang w:val="en-GB"/>
        </w:rPr>
        <w:t>Osman</w:t>
      </w:r>
      <w:r w:rsidRPr="00B94E33">
        <w:rPr>
          <w:lang w:val="en-GB"/>
        </w:rPr>
        <w:t xml:space="preserve">, </w:t>
      </w:r>
      <w:r w:rsidRPr="00B94E33">
        <w:rPr>
          <w:rFonts w:ascii="Times New Roman" w:hAnsi="Times New Roman"/>
          <w:szCs w:val="24"/>
          <w:lang w:val="en-GB"/>
        </w:rPr>
        <w:t xml:space="preserve">§ 116, and </w:t>
      </w:r>
      <w:r w:rsidRPr="00B94E33">
        <w:rPr>
          <w:rFonts w:ascii="Times New Roman" w:hAnsi="Times New Roman"/>
          <w:i/>
          <w:szCs w:val="24"/>
          <w:lang w:val="en-GB"/>
        </w:rPr>
        <w:t>Opuz</w:t>
      </w:r>
      <w:r w:rsidRPr="00B94E33">
        <w:rPr>
          <w:rFonts w:ascii="Times New Roman" w:hAnsi="Times New Roman"/>
          <w:szCs w:val="24"/>
          <w:lang w:val="en-GB"/>
        </w:rPr>
        <w:t>, § 130;</w:t>
      </w:r>
      <w:r w:rsidRPr="00B94E33">
        <w:rPr>
          <w:lang w:val="en-GB"/>
        </w:rPr>
        <w:t xml:space="preserve"> my emphasis).</w:t>
      </w:r>
    </w:p>
    <w:p w:rsidR="009A4363" w:rsidRPr="00B94E33" w:rsidRDefault="00713619" w:rsidP="00B94E33">
      <w:pPr>
        <w:pStyle w:val="OpiPara"/>
        <w:rPr>
          <w:lang w:val="en-GB"/>
        </w:rPr>
      </w:pPr>
      <w:r w:rsidRPr="00B94E33">
        <w:rPr>
          <w:lang w:val="en-GB"/>
        </w:rPr>
        <w:t>3.</w:t>
      </w:r>
      <w:r w:rsidR="00137E7F" w:rsidRPr="00B94E33">
        <w:rPr>
          <w:lang w:val="en-GB"/>
        </w:rPr>
        <w:t>  </w:t>
      </w:r>
      <w:r w:rsidRPr="00B94E33">
        <w:rPr>
          <w:lang w:val="en-GB"/>
        </w:rPr>
        <w:t xml:space="preserve">It follows that in order for a finding of a violation of Article 2 to be properly substantiated in the present case, the </w:t>
      </w:r>
      <w:r w:rsidRPr="00B94E33">
        <w:rPr>
          <w:i/>
          <w:lang w:val="en-GB"/>
        </w:rPr>
        <w:t>Osman</w:t>
      </w:r>
      <w:r w:rsidRPr="00B94E33">
        <w:rPr>
          <w:lang w:val="en-GB"/>
        </w:rPr>
        <w:t xml:space="preserve"> test must therefore be met. This begs the following question: did the national authorities know, or ought they to have known, that the lives of the applicant and her son were at </w:t>
      </w:r>
      <w:r w:rsidRPr="00B94E33">
        <w:rPr>
          <w:i/>
          <w:iCs/>
          <w:lang w:val="en-GB"/>
        </w:rPr>
        <w:t>real and imme</w:t>
      </w:r>
      <w:r w:rsidRPr="00B94E33">
        <w:rPr>
          <w:i/>
          <w:iCs/>
          <w:lang w:val="en-GB"/>
        </w:rPr>
        <w:softHyphen/>
        <w:t>diate</w:t>
      </w:r>
      <w:r w:rsidRPr="00B94E33">
        <w:rPr>
          <w:lang w:val="en-GB"/>
        </w:rPr>
        <w:t> </w:t>
      </w:r>
      <w:r w:rsidRPr="00B94E33">
        <w:rPr>
          <w:i/>
          <w:iCs/>
          <w:lang w:val="en-GB"/>
        </w:rPr>
        <w:t>risk </w:t>
      </w:r>
      <w:r w:rsidRPr="00B94E33">
        <w:rPr>
          <w:lang w:val="en-GB"/>
        </w:rPr>
        <w:t xml:space="preserve">on 25 November 2013? The answer to this question </w:t>
      </w:r>
      <w:r w:rsidRPr="00B94E33">
        <w:rPr>
          <w:lang w:val="en-GB"/>
        </w:rPr>
        <w:lastRenderedPageBreak/>
        <w:t xml:space="preserve">requires a fact-sensitive analysis of the two prongs of the </w:t>
      </w:r>
      <w:r w:rsidRPr="00B94E33">
        <w:rPr>
          <w:i/>
          <w:lang w:val="en-GB"/>
        </w:rPr>
        <w:t>Osman test</w:t>
      </w:r>
      <w:r w:rsidRPr="00B94E33">
        <w:rPr>
          <w:lang w:val="en-GB"/>
        </w:rPr>
        <w:t xml:space="preserve">, i.e. the </w:t>
      </w:r>
      <w:r w:rsidRPr="00B94E33">
        <w:rPr>
          <w:i/>
          <w:lang w:val="en-GB"/>
        </w:rPr>
        <w:t>imminence</w:t>
      </w:r>
      <w:r w:rsidRPr="00B94E33">
        <w:rPr>
          <w:lang w:val="en-GB"/>
        </w:rPr>
        <w:t xml:space="preserve"> and </w:t>
      </w:r>
      <w:r w:rsidRPr="00B94E33">
        <w:rPr>
          <w:i/>
          <w:lang w:val="en-GB"/>
        </w:rPr>
        <w:t>reality</w:t>
      </w:r>
      <w:r w:rsidRPr="00B94E33">
        <w:rPr>
          <w:lang w:val="en-GB"/>
        </w:rPr>
        <w:t xml:space="preserve"> of the risk as reasonably foreseen by agents of the State, as I will now explain.</w:t>
      </w:r>
    </w:p>
    <w:p w:rsidR="00713619" w:rsidRPr="00B94E33" w:rsidRDefault="00713619" w:rsidP="00B94E33">
      <w:pPr>
        <w:pStyle w:val="OpiPara"/>
        <w:rPr>
          <w:bCs/>
          <w:lang w:val="en-GB"/>
        </w:rPr>
      </w:pPr>
      <w:r w:rsidRPr="00B94E33">
        <w:rPr>
          <w:lang w:val="en-GB"/>
        </w:rPr>
        <w:t>4.</w:t>
      </w:r>
      <w:r w:rsidR="00137E7F" w:rsidRPr="00B94E33">
        <w:rPr>
          <w:lang w:val="en-GB"/>
        </w:rPr>
        <w:t>  </w:t>
      </w:r>
      <w:r w:rsidRPr="00B94E33">
        <w:rPr>
          <w:bCs/>
          <w:lang w:val="en-GB"/>
        </w:rPr>
        <w:t xml:space="preserve">On 2 June 2012, the police intervened </w:t>
      </w:r>
      <w:r w:rsidRPr="00B94E33">
        <w:rPr>
          <w:lang w:val="en-GB"/>
        </w:rPr>
        <w:t>on the applicant</w:t>
      </w:r>
      <w:r w:rsidR="00B94E33" w:rsidRPr="00B94E33">
        <w:rPr>
          <w:lang w:val="en-GB"/>
        </w:rPr>
        <w:t>’</w:t>
      </w:r>
      <w:r w:rsidRPr="00B94E33">
        <w:rPr>
          <w:lang w:val="en-GB"/>
        </w:rPr>
        <w:t>s request after she complained that her husband, A.T. had hit her and her daughter. On 19</w:t>
      </w:r>
      <w:r w:rsidR="00137E7F" w:rsidRPr="00B94E33">
        <w:rPr>
          <w:lang w:val="en-GB"/>
        </w:rPr>
        <w:t> </w:t>
      </w:r>
      <w:r w:rsidRPr="00B94E33">
        <w:rPr>
          <w:lang w:val="en-GB"/>
        </w:rPr>
        <w:t>August 2012, the applicant again sought police assistance after being physically assaulted by her husband. The applicant lodged a complaint against A.T. on 5 September 2012 for bodily harm, domestic abuse and threats. The final event, the fatal attack, then took place on 25 November 2013. On the evening in question, the police were called to the house by the applicant. Upon arrival, they noted a broken door and bottles on the floor. There were no signs of violence on either the applicant or her son, nor were such allegations made. Although the applicant mentioned that she had previously filed a complaint against her husband, she explained that she had subsequently modified her accusations and that she had sought help that evening believing that her husband</w:t>
      </w:r>
      <w:r w:rsidR="00B94E33" w:rsidRPr="00B94E33">
        <w:rPr>
          <w:lang w:val="en-GB"/>
        </w:rPr>
        <w:t>’</w:t>
      </w:r>
      <w:r w:rsidRPr="00B94E33">
        <w:rPr>
          <w:lang w:val="en-GB"/>
        </w:rPr>
        <w:t>s drunken state necessitated medical attention. The police duly took A.T. to a hospital, which he left the same evening. When he was stopped in the street by the police later that night, he made no threats of violence. Returning to the family home in the early hours of the morning, he carried out his fatal attack.</w:t>
      </w:r>
    </w:p>
    <w:p w:rsidR="009A4363" w:rsidRPr="00B94E33" w:rsidRDefault="00713619" w:rsidP="00B94E33">
      <w:pPr>
        <w:pStyle w:val="OpiPara"/>
        <w:rPr>
          <w:lang w:val="en-GB"/>
        </w:rPr>
      </w:pPr>
      <w:r w:rsidRPr="00B94E33">
        <w:rPr>
          <w:lang w:val="en-GB"/>
        </w:rPr>
        <w:t>5.</w:t>
      </w:r>
      <w:r w:rsidR="00137E7F" w:rsidRPr="00B94E33">
        <w:rPr>
          <w:lang w:val="en-GB"/>
        </w:rPr>
        <w:t>  </w:t>
      </w:r>
      <w:r w:rsidRPr="00B94E33">
        <w:rPr>
          <w:lang w:val="en-GB"/>
        </w:rPr>
        <w:t xml:space="preserve">In determining the </w:t>
      </w:r>
      <w:r w:rsidRPr="00B94E33">
        <w:rPr>
          <w:i/>
          <w:lang w:val="en-GB"/>
        </w:rPr>
        <w:t>immediacy of the risk</w:t>
      </w:r>
      <w:r w:rsidRPr="00B94E33">
        <w:rPr>
          <w:lang w:val="en-GB"/>
        </w:rPr>
        <w:t xml:space="preserve">, it is crucial to note the lapses of time between the initial police intervention in June 2012, the August 2012 incident and the lodging of the complaint in September 2012, and between that time and the tragic events of 25 November 2013, a time lapse of over fourteen months. When contrasted with the close nexus in time and regularity of the violent acts in </w:t>
      </w:r>
      <w:r w:rsidRPr="00B94E33">
        <w:rPr>
          <w:i/>
          <w:lang w:val="en-GB"/>
        </w:rPr>
        <w:t>Opuz v. Turkey</w:t>
      </w:r>
      <w:r w:rsidRPr="00B94E33">
        <w:rPr>
          <w:lang w:val="en-GB"/>
        </w:rPr>
        <w:t>, which gave rise to the Court</w:t>
      </w:r>
      <w:r w:rsidR="00B94E33" w:rsidRPr="00B94E33">
        <w:rPr>
          <w:lang w:val="en-GB"/>
        </w:rPr>
        <w:t>’</w:t>
      </w:r>
      <w:r w:rsidRPr="00B94E33">
        <w:rPr>
          <w:lang w:val="en-GB"/>
        </w:rPr>
        <w:t xml:space="preserve">s finding of </w:t>
      </w:r>
      <w:r w:rsidRPr="00B94E33">
        <w:rPr>
          <w:i/>
          <w:lang w:val="en-GB"/>
        </w:rPr>
        <w:t>constructive knowledge</w:t>
      </w:r>
      <w:r w:rsidRPr="00B94E33">
        <w:rPr>
          <w:lang w:val="en-GB"/>
        </w:rPr>
        <w:t xml:space="preserve">, namely that the authorities </w:t>
      </w:r>
      <w:r w:rsidRPr="00B94E33">
        <w:rPr>
          <w:i/>
          <w:lang w:val="en-GB"/>
        </w:rPr>
        <w:t>ought to have known</w:t>
      </w:r>
      <w:r w:rsidRPr="00B94E33">
        <w:rPr>
          <w:lang w:val="en-GB"/>
        </w:rPr>
        <w:t xml:space="preserve"> of a real and imme</w:t>
      </w:r>
      <w:r w:rsidRPr="00B94E33">
        <w:rPr>
          <w:lang w:val="en-GB"/>
        </w:rPr>
        <w:softHyphen/>
        <w:t xml:space="preserve">diate risk under the </w:t>
      </w:r>
      <w:r w:rsidRPr="00B94E33">
        <w:rPr>
          <w:i/>
          <w:lang w:val="en-GB"/>
        </w:rPr>
        <w:t>Osman</w:t>
      </w:r>
      <w:r w:rsidRPr="00B94E33">
        <w:rPr>
          <w:lang w:val="en-GB"/>
        </w:rPr>
        <w:t xml:space="preserve"> test, it is plain that the requisite timeframe allowing for a conclusion of immediacy is lacking in the present case. </w:t>
      </w:r>
      <w:r w:rsidRPr="00B94E33">
        <w:rPr>
          <w:i/>
          <w:iCs/>
          <w:lang w:val="en-GB"/>
        </w:rPr>
        <w:t>Bljakaj and Others v. Croatia</w:t>
      </w:r>
      <w:r w:rsidRPr="00B94E33">
        <w:rPr>
          <w:lang w:val="en-GB"/>
        </w:rPr>
        <w:t xml:space="preserve"> presents a similar stark contrast and demonstrates the required extent of imme</w:t>
      </w:r>
      <w:r w:rsidRPr="00B94E33">
        <w:rPr>
          <w:lang w:val="en-GB"/>
        </w:rPr>
        <w:softHyphen/>
        <w:t>diacy, with the perpetrator in that case making threats on the day before, morning of, and hour prior to, the fatal incident. It is worth noting that the Court</w:t>
      </w:r>
      <w:r w:rsidR="00B94E33" w:rsidRPr="00B94E33">
        <w:rPr>
          <w:lang w:val="en-GB"/>
        </w:rPr>
        <w:t>’</w:t>
      </w:r>
      <w:r w:rsidRPr="00B94E33">
        <w:rPr>
          <w:lang w:val="en-GB"/>
        </w:rPr>
        <w:t>s case-law in this regard falls in line with the requirements of the Istanbul Con</w:t>
      </w:r>
      <w:r w:rsidRPr="00B94E33">
        <w:rPr>
          <w:lang w:val="en-GB"/>
        </w:rPr>
        <w:softHyphen/>
        <w:t>vention,</w:t>
      </w:r>
      <w:r w:rsidRPr="00B94E33">
        <w:rPr>
          <w:rStyle w:val="Rimandonotaapidipagina"/>
          <w:rFonts w:ascii="Times New Roman" w:hAnsi="Times New Roman"/>
          <w:szCs w:val="24"/>
          <w:lang w:val="en-GB"/>
        </w:rPr>
        <w:footnoteReference w:id="1"/>
      </w:r>
      <w:r w:rsidRPr="00B94E33">
        <w:rPr>
          <w:lang w:val="en-GB"/>
        </w:rPr>
        <w:t xml:space="preserve"> the Explanatory Report to which establishes that the term “imme</w:t>
      </w:r>
      <w:r w:rsidRPr="00B94E33">
        <w:rPr>
          <w:lang w:val="en-GB"/>
        </w:rPr>
        <w:softHyphen/>
        <w:t>diate danger” refers to any situations of domestic violence in which harm is imminent or has already materialised and is likely to happen again.</w:t>
      </w:r>
      <w:r w:rsidRPr="00B94E33">
        <w:rPr>
          <w:rStyle w:val="Rimandonotaapidipagina"/>
          <w:rFonts w:ascii="Times New Roman" w:hAnsi="Times New Roman"/>
          <w:szCs w:val="24"/>
          <w:lang w:val="en-GB"/>
        </w:rPr>
        <w:footnoteReference w:id="2"/>
      </w:r>
      <w:r w:rsidRPr="00B94E33">
        <w:rPr>
          <w:lang w:val="en-GB"/>
        </w:rPr>
        <w:t xml:space="preserve"> The highlighted time lapses clearly challenge the possibilities of imminence of risk in this case.</w:t>
      </w:r>
    </w:p>
    <w:p w:rsidR="009A4363" w:rsidRPr="00B94E33" w:rsidRDefault="00713619" w:rsidP="00B94E33">
      <w:pPr>
        <w:pStyle w:val="OpiPara"/>
        <w:rPr>
          <w:rFonts w:ascii="Times New Roman" w:hAnsi="Times New Roman"/>
          <w:szCs w:val="24"/>
          <w:lang w:val="en-GB"/>
        </w:rPr>
      </w:pPr>
      <w:r w:rsidRPr="00B94E33">
        <w:rPr>
          <w:rFonts w:eastAsia="Times New Roman"/>
          <w:lang w:val="en-GB"/>
        </w:rPr>
        <w:lastRenderedPageBreak/>
        <w:t>6.</w:t>
      </w:r>
      <w:r w:rsidR="00137E7F" w:rsidRPr="00B94E33">
        <w:rPr>
          <w:rFonts w:eastAsia="Times New Roman"/>
          <w:lang w:val="en-GB"/>
        </w:rPr>
        <w:t>  </w:t>
      </w:r>
      <w:r w:rsidRPr="00B94E33">
        <w:rPr>
          <w:rFonts w:eastAsia="Times New Roman"/>
          <w:lang w:val="en-GB"/>
        </w:rPr>
        <w:t xml:space="preserve">Turning to the </w:t>
      </w:r>
      <w:r w:rsidRPr="00B94E33">
        <w:rPr>
          <w:rFonts w:eastAsia="Times New Roman"/>
          <w:i/>
          <w:lang w:val="en-GB"/>
        </w:rPr>
        <w:t>reality of the risk</w:t>
      </w:r>
      <w:r w:rsidRPr="00B94E33">
        <w:rPr>
          <w:rFonts w:eastAsia="Times New Roman"/>
          <w:lang w:val="en-GB"/>
        </w:rPr>
        <w:t>, besides their close nexus in time, the scale and regularity of the violent acts and the authorities</w:t>
      </w:r>
      <w:r w:rsidR="00B94E33" w:rsidRPr="00B94E33">
        <w:rPr>
          <w:rFonts w:eastAsia="Times New Roman"/>
          <w:lang w:val="en-GB"/>
        </w:rPr>
        <w:t>’</w:t>
      </w:r>
      <w:r w:rsidRPr="00B94E33">
        <w:rPr>
          <w:rFonts w:eastAsia="Times New Roman"/>
          <w:lang w:val="en-GB"/>
        </w:rPr>
        <w:t xml:space="preserve"> direct knowledge of them also formed the basis for the </w:t>
      </w:r>
      <w:r w:rsidRPr="00B94E33">
        <w:rPr>
          <w:rFonts w:eastAsia="Times New Roman"/>
          <w:i/>
          <w:lang w:val="en-GB"/>
        </w:rPr>
        <w:t>Opuz</w:t>
      </w:r>
      <w:r w:rsidRPr="00B94E33">
        <w:rPr>
          <w:rFonts w:eastAsia="Times New Roman"/>
          <w:lang w:val="en-GB"/>
        </w:rPr>
        <w:t xml:space="preserve"> Court</w:t>
      </w:r>
      <w:r w:rsidR="00B94E33" w:rsidRPr="00B94E33">
        <w:rPr>
          <w:rFonts w:eastAsia="Times New Roman"/>
          <w:lang w:val="en-GB"/>
        </w:rPr>
        <w:t>’</w:t>
      </w:r>
      <w:r w:rsidRPr="00B94E33">
        <w:rPr>
          <w:rFonts w:eastAsia="Times New Roman"/>
          <w:lang w:val="en-GB"/>
        </w:rPr>
        <w:t xml:space="preserve">s finding of the existence of </w:t>
      </w:r>
      <w:r w:rsidRPr="00B94E33">
        <w:rPr>
          <w:rFonts w:eastAsia="Times New Roman"/>
          <w:i/>
          <w:iCs/>
          <w:lang w:val="en-GB"/>
        </w:rPr>
        <w:t>constructive knowledge</w:t>
      </w:r>
      <w:r w:rsidRPr="00B94E33">
        <w:rPr>
          <w:rFonts w:eastAsia="Times New Roman"/>
          <w:lang w:val="en-GB"/>
        </w:rPr>
        <w:t xml:space="preserve"> under </w:t>
      </w:r>
      <w:r w:rsidRPr="00B94E33">
        <w:rPr>
          <w:rFonts w:eastAsia="Times New Roman"/>
          <w:i/>
          <w:lang w:val="en-GB"/>
        </w:rPr>
        <w:t>Osman</w:t>
      </w:r>
      <w:r w:rsidRPr="00B94E33">
        <w:rPr>
          <w:rFonts w:eastAsia="Times New Roman"/>
          <w:lang w:val="en-GB"/>
        </w:rPr>
        <w:t>. It goes without saying that the attacks of June and August 2012 and their impact on the applicant should in no way be under</w:t>
      </w:r>
      <w:r w:rsidRPr="00B94E33">
        <w:rPr>
          <w:rFonts w:eastAsia="Times New Roman"/>
          <w:lang w:val="en-GB"/>
        </w:rPr>
        <w:softHyphen/>
        <w:t xml:space="preserve">estimated, the Italian courts eventually convicting A.T. of the violence carried out on those occasions. Nonetheless, when contrasted with the gravity of the eight prior attacks identified in </w:t>
      </w:r>
      <w:r w:rsidRPr="00B94E33">
        <w:rPr>
          <w:rFonts w:eastAsia="Times New Roman"/>
          <w:i/>
          <w:lang w:val="en-GB"/>
        </w:rPr>
        <w:t>Opuz</w:t>
      </w:r>
      <w:r w:rsidRPr="00B94E33">
        <w:rPr>
          <w:rFonts w:eastAsia="Times New Roman"/>
          <w:lang w:val="en-GB"/>
        </w:rPr>
        <w:t>, involving repeated death threats and resulting in life-threatening injuries on several occasions, the constructive knowledge inevi</w:t>
      </w:r>
      <w:r w:rsidRPr="00B94E33">
        <w:rPr>
          <w:rFonts w:eastAsia="Times New Roman"/>
          <w:lang w:val="en-GB"/>
        </w:rPr>
        <w:softHyphen/>
        <w:t xml:space="preserve">tably arising from such a course of events cannot be imputed to the authorities in the present case, who did not possess information on attacks and death threats on this scale. </w:t>
      </w:r>
      <w:r w:rsidRPr="00B94E33">
        <w:rPr>
          <w:rFonts w:ascii="Times New Roman" w:hAnsi="Times New Roman"/>
          <w:szCs w:val="24"/>
          <w:lang w:val="en-GB"/>
        </w:rPr>
        <w:t xml:space="preserve">Similarly, in finding an Article 2 violation in </w:t>
      </w:r>
      <w:r w:rsidRPr="00B94E33">
        <w:rPr>
          <w:rFonts w:ascii="Times New Roman" w:hAnsi="Times New Roman"/>
          <w:i/>
          <w:szCs w:val="24"/>
          <w:lang w:val="en-GB"/>
        </w:rPr>
        <w:t>Kontrová v. Slovakia</w:t>
      </w:r>
      <w:r w:rsidRPr="00B94E33">
        <w:rPr>
          <w:rFonts w:ascii="Times New Roman" w:hAnsi="Times New Roman"/>
          <w:szCs w:val="24"/>
          <w:lang w:val="en-GB"/>
        </w:rPr>
        <w:t>, the Court highlighted the lack of action taken in respect of allegations that the applicant</w:t>
      </w:r>
      <w:r w:rsidR="00B94E33" w:rsidRPr="00B94E33">
        <w:rPr>
          <w:rFonts w:ascii="Times New Roman" w:hAnsi="Times New Roman"/>
          <w:szCs w:val="24"/>
          <w:lang w:val="en-GB"/>
        </w:rPr>
        <w:t>’</w:t>
      </w:r>
      <w:r w:rsidRPr="00B94E33">
        <w:rPr>
          <w:rFonts w:ascii="Times New Roman" w:hAnsi="Times New Roman"/>
          <w:szCs w:val="24"/>
          <w:lang w:val="en-GB"/>
        </w:rPr>
        <w:t>s husband had a shotgun and had made violent threats with it.</w:t>
      </w:r>
    </w:p>
    <w:p w:rsidR="009A4363" w:rsidRPr="00B94E33" w:rsidRDefault="00713619" w:rsidP="00B94E33">
      <w:pPr>
        <w:pStyle w:val="OpiPara"/>
        <w:rPr>
          <w:lang w:val="en-GB"/>
        </w:rPr>
      </w:pPr>
      <w:r w:rsidRPr="00B94E33">
        <w:rPr>
          <w:lang w:val="en-GB"/>
        </w:rPr>
        <w:t>7.</w:t>
      </w:r>
      <w:r w:rsidR="00137E7F" w:rsidRPr="00B94E33">
        <w:rPr>
          <w:lang w:val="en-GB"/>
        </w:rPr>
        <w:t>  </w:t>
      </w:r>
      <w:r w:rsidRPr="00B94E33">
        <w:rPr>
          <w:lang w:val="en-GB"/>
        </w:rPr>
        <w:t>The majority argues that the authorities failed to carry out an adequate risk assessment both on the night in question and during the preceding months, whereby the context of impunity eventually culminated in the fatal attack (</w:t>
      </w:r>
      <w:r w:rsidRPr="00B94E33">
        <w:rPr>
          <w:rFonts w:ascii="Times New Roman" w:hAnsi="Times New Roman"/>
          <w:szCs w:val="24"/>
          <w:lang w:val="en-GB"/>
        </w:rPr>
        <w:t>see paragraphs 118-119)</w:t>
      </w:r>
      <w:r w:rsidRPr="00B94E33">
        <w:rPr>
          <w:lang w:val="en-GB"/>
        </w:rPr>
        <w:t>. Having dealt with the former issue, the question in respect of the latter then arises: can investigative passivity give rise to constructive knowledge?</w:t>
      </w:r>
    </w:p>
    <w:p w:rsidR="009A4363" w:rsidRPr="00B94E33" w:rsidRDefault="00713619" w:rsidP="00B94E33">
      <w:pPr>
        <w:pStyle w:val="OpiPara"/>
        <w:rPr>
          <w:rFonts w:eastAsia="Times New Roman"/>
          <w:lang w:val="en-GB"/>
        </w:rPr>
      </w:pPr>
      <w:r w:rsidRPr="00B94E33">
        <w:rPr>
          <w:lang w:val="en-GB"/>
        </w:rPr>
        <w:t>8.</w:t>
      </w:r>
      <w:r w:rsidR="00137E7F" w:rsidRPr="00B94E33">
        <w:rPr>
          <w:lang w:val="en-GB"/>
        </w:rPr>
        <w:t>  </w:t>
      </w:r>
      <w:r w:rsidRPr="00B94E33">
        <w:rPr>
          <w:rFonts w:ascii="Times New Roman" w:hAnsi="Times New Roman"/>
          <w:szCs w:val="24"/>
          <w:lang w:val="en-GB"/>
        </w:rPr>
        <w:t xml:space="preserve">In </w:t>
      </w:r>
      <w:r w:rsidRPr="00B94E33">
        <w:rPr>
          <w:rFonts w:ascii="Times New Roman" w:hAnsi="Times New Roman"/>
          <w:i/>
          <w:szCs w:val="24"/>
          <w:lang w:val="en-GB"/>
        </w:rPr>
        <w:t>Opuz v. Turkey</w:t>
      </w:r>
      <w:r w:rsidRPr="00B94E33">
        <w:rPr>
          <w:rFonts w:ascii="Times New Roman" w:hAnsi="Times New Roman"/>
          <w:szCs w:val="24"/>
          <w:lang w:val="en-GB"/>
        </w:rPr>
        <w:t>, the Government had argued that there was no tangible evidence that the applicant</w:t>
      </w:r>
      <w:r w:rsidR="00B94E33" w:rsidRPr="00B94E33">
        <w:rPr>
          <w:rFonts w:ascii="Times New Roman" w:hAnsi="Times New Roman"/>
          <w:szCs w:val="24"/>
          <w:lang w:val="en-GB"/>
        </w:rPr>
        <w:t>’</w:t>
      </w:r>
      <w:r w:rsidRPr="00B94E33">
        <w:rPr>
          <w:rFonts w:ascii="Times New Roman" w:hAnsi="Times New Roman"/>
          <w:szCs w:val="24"/>
          <w:lang w:val="en-GB"/>
        </w:rPr>
        <w:t>s mother</w:t>
      </w:r>
      <w:r w:rsidR="00B94E33" w:rsidRPr="00B94E33">
        <w:rPr>
          <w:rFonts w:ascii="Times New Roman" w:hAnsi="Times New Roman"/>
          <w:szCs w:val="24"/>
          <w:lang w:val="en-GB"/>
        </w:rPr>
        <w:t>’</w:t>
      </w:r>
      <w:r w:rsidRPr="00B94E33">
        <w:rPr>
          <w:rFonts w:ascii="Times New Roman" w:hAnsi="Times New Roman"/>
          <w:szCs w:val="24"/>
          <w:lang w:val="en-GB"/>
        </w:rPr>
        <w:t xml:space="preserve">s life was in imminent danger. However, the Court found that it was not apparent that the authorities had assessed the threat posed by the perpetrator and only then concluded that his detention was a disproportionate step in the circumstances; rather, the authorities failed to address the issues at all (see </w:t>
      </w:r>
      <w:r w:rsidRPr="00B94E33">
        <w:rPr>
          <w:rFonts w:ascii="Times New Roman" w:hAnsi="Times New Roman"/>
          <w:i/>
          <w:szCs w:val="24"/>
          <w:lang w:val="en-GB"/>
        </w:rPr>
        <w:t>Opuz</w:t>
      </w:r>
      <w:r w:rsidRPr="00B94E33">
        <w:rPr>
          <w:rFonts w:ascii="Times New Roman" w:hAnsi="Times New Roman"/>
          <w:szCs w:val="24"/>
          <w:lang w:val="en-GB"/>
        </w:rPr>
        <w:t>, § 147). Despite the victim</w:t>
      </w:r>
      <w:r w:rsidR="00B94E33" w:rsidRPr="00B94E33">
        <w:rPr>
          <w:rFonts w:ascii="Times New Roman" w:hAnsi="Times New Roman"/>
          <w:szCs w:val="24"/>
          <w:lang w:val="en-GB"/>
        </w:rPr>
        <w:t>’</w:t>
      </w:r>
      <w:r w:rsidRPr="00B94E33">
        <w:rPr>
          <w:rFonts w:ascii="Times New Roman" w:hAnsi="Times New Roman"/>
          <w:szCs w:val="24"/>
          <w:lang w:val="en-GB"/>
        </w:rPr>
        <w:t>s complaint that the perpe</w:t>
      </w:r>
      <w:r w:rsidRPr="00B94E33">
        <w:rPr>
          <w:rFonts w:ascii="Times New Roman" w:hAnsi="Times New Roman"/>
          <w:szCs w:val="24"/>
          <w:lang w:val="en-GB"/>
        </w:rPr>
        <w:softHyphen/>
        <w:t xml:space="preserve">trator had been harassing her, wandering around her property and carrying knives and guns, the police and prosecuting authorities failed either to place him in detention or to take other appropriate action in respect of the allegation that he had a shotgun and had made violent threats with it. </w:t>
      </w:r>
      <w:r w:rsidRPr="00B94E33">
        <w:rPr>
          <w:rFonts w:eastAsia="Times New Roman"/>
          <w:lang w:val="en-GB"/>
        </w:rPr>
        <w:t>Thus inactivity of the sort demon</w:t>
      </w:r>
      <w:r w:rsidRPr="00B94E33">
        <w:rPr>
          <w:rFonts w:eastAsia="Times New Roman"/>
          <w:lang w:val="en-GB"/>
        </w:rPr>
        <w:softHyphen/>
        <w:t>strated in the present case, and the results thereof, do not of themselves create constructive knowledge such as to trigger an obligation under Article</w:t>
      </w:r>
      <w:r w:rsidR="00137E7F" w:rsidRPr="00B94E33">
        <w:rPr>
          <w:rFonts w:eastAsia="Times New Roman"/>
          <w:lang w:val="en-GB"/>
        </w:rPr>
        <w:t> </w:t>
      </w:r>
      <w:r w:rsidRPr="00B94E33">
        <w:rPr>
          <w:rFonts w:eastAsia="Times New Roman"/>
          <w:lang w:val="en-GB"/>
        </w:rPr>
        <w:t>2 (although it will usually, and in the present cas</w:t>
      </w:r>
      <w:r w:rsidR="009A4363" w:rsidRPr="00B94E33">
        <w:rPr>
          <w:rFonts w:eastAsia="Times New Roman"/>
          <w:lang w:val="en-GB"/>
        </w:rPr>
        <w:t>e does, give rise to an Article </w:t>
      </w:r>
      <w:r w:rsidRPr="00B94E33">
        <w:rPr>
          <w:rFonts w:eastAsia="Times New Roman"/>
          <w:lang w:val="en-GB"/>
        </w:rPr>
        <w:t>3 violation in the domestic violence context). What is ultimately required is a set of facts rendering untenable the claim that the authorities did not know, or could not have known, of a real and immediate risk to life.</w:t>
      </w:r>
    </w:p>
    <w:p w:rsidR="00713619" w:rsidRPr="00B94E33" w:rsidRDefault="00713619" w:rsidP="00B94E33">
      <w:pPr>
        <w:pStyle w:val="OpiPara"/>
        <w:rPr>
          <w:lang w:val="en-GB"/>
        </w:rPr>
      </w:pPr>
      <w:r w:rsidRPr="00B94E33">
        <w:rPr>
          <w:lang w:val="en-GB"/>
        </w:rPr>
        <w:t>9.</w:t>
      </w:r>
      <w:r w:rsidR="00137E7F" w:rsidRPr="00B94E33">
        <w:rPr>
          <w:lang w:val="en-GB"/>
        </w:rPr>
        <w:t>  </w:t>
      </w:r>
      <w:r w:rsidRPr="00B94E33">
        <w:rPr>
          <w:rFonts w:eastAsia="Times New Roman"/>
          <w:lang w:val="en-GB"/>
        </w:rPr>
        <w:t xml:space="preserve">Consequently, although the majority finds that the nature of the act in August 2012 and the pending status of its inquiry in November 2013, along with the facts during the tragic evening, are sufficient to establish constructive knowledge of a real and immediate risk to the lives of the applicant and her son, the </w:t>
      </w:r>
      <w:r w:rsidRPr="00B94E33">
        <w:rPr>
          <w:rFonts w:eastAsia="Times New Roman"/>
          <w:i/>
          <w:lang w:val="en-GB"/>
        </w:rPr>
        <w:t>Osman</w:t>
      </w:r>
      <w:r w:rsidRPr="00B94E33">
        <w:rPr>
          <w:rFonts w:eastAsia="Times New Roman"/>
          <w:lang w:val="en-GB"/>
        </w:rPr>
        <w:t xml:space="preserve"> test, as applied on the facts, the crux of the Article 2 substantive claim, is not made out.</w:t>
      </w:r>
      <w:r w:rsidRPr="00B94E33">
        <w:rPr>
          <w:lang w:val="en-GB"/>
        </w:rPr>
        <w:t xml:space="preserve"> Regardless of how the </w:t>
      </w:r>
      <w:r w:rsidRPr="00B94E33">
        <w:rPr>
          <w:lang w:val="en-GB"/>
        </w:rPr>
        <w:lastRenderedPageBreak/>
        <w:t xml:space="preserve">judgment frames it, the </w:t>
      </w:r>
      <w:r w:rsidRPr="00B94E33">
        <w:rPr>
          <w:i/>
          <w:lang w:val="en-GB"/>
        </w:rPr>
        <w:t>Osman</w:t>
      </w:r>
      <w:r w:rsidRPr="00B94E33">
        <w:rPr>
          <w:lang w:val="en-GB"/>
        </w:rPr>
        <w:t xml:space="preserve"> test continues to apply in the same way here as in other contexts triggering the State</w:t>
      </w:r>
      <w:r w:rsidR="00B94E33" w:rsidRPr="00B94E33">
        <w:rPr>
          <w:lang w:val="en-GB"/>
        </w:rPr>
        <w:t>’</w:t>
      </w:r>
      <w:r w:rsidRPr="00B94E33">
        <w:rPr>
          <w:lang w:val="en-GB"/>
        </w:rPr>
        <w:t>s Article 2 preventive obligation; the Court</w:t>
      </w:r>
      <w:r w:rsidR="00B94E33" w:rsidRPr="00B94E33">
        <w:rPr>
          <w:lang w:val="en-GB"/>
        </w:rPr>
        <w:t>’</w:t>
      </w:r>
      <w:r w:rsidRPr="00B94E33">
        <w:rPr>
          <w:lang w:val="en-GB"/>
        </w:rPr>
        <w:t xml:space="preserve">s domestic violence case-law has continued to apply a strict </w:t>
      </w:r>
      <w:r w:rsidRPr="00B94E33">
        <w:rPr>
          <w:i/>
          <w:lang w:val="en-GB"/>
        </w:rPr>
        <w:t>Osman</w:t>
      </w:r>
      <w:r w:rsidRPr="00B94E33">
        <w:rPr>
          <w:lang w:val="en-GB"/>
        </w:rPr>
        <w:t xml:space="preserve"> test without any alterations. Diluting the </w:t>
      </w:r>
      <w:r w:rsidRPr="00B94E33">
        <w:rPr>
          <w:i/>
          <w:lang w:val="en-GB"/>
        </w:rPr>
        <w:t>Osman</w:t>
      </w:r>
      <w:r w:rsidRPr="00B94E33">
        <w:rPr>
          <w:lang w:val="en-GB"/>
        </w:rPr>
        <w:t xml:space="preserve"> standard, to take account of the nature of different types of fatal criminal offences between individuals, will simply impose an unrealistic burden on law enforcement authorities. Again, the law, even human rights law, has its limits.</w:t>
      </w:r>
    </w:p>
    <w:p w:rsidR="009A4363" w:rsidRPr="00B94E33" w:rsidRDefault="00713619" w:rsidP="00B94E33">
      <w:pPr>
        <w:pStyle w:val="OpiPara"/>
        <w:rPr>
          <w:rFonts w:cs="Times New Roman"/>
          <w:bCs/>
          <w:lang w:val="en-GB"/>
        </w:rPr>
      </w:pPr>
      <w:r w:rsidRPr="00B94E33">
        <w:rPr>
          <w:rFonts w:cs="Times New Roman"/>
          <w:lang w:val="en-GB"/>
        </w:rPr>
        <w:t>10.</w:t>
      </w:r>
      <w:r w:rsidR="00137E7F" w:rsidRPr="00B94E33">
        <w:rPr>
          <w:rFonts w:cs="Times New Roman"/>
          <w:lang w:val="en-GB"/>
        </w:rPr>
        <w:t>  </w:t>
      </w:r>
      <w:r w:rsidRPr="00B94E33">
        <w:rPr>
          <w:rFonts w:cs="Times New Roman"/>
          <w:lang w:val="en-GB"/>
        </w:rPr>
        <w:t xml:space="preserve">Furthermore, and importantly, the applicable principles, as summarised at </w:t>
      </w:r>
      <w:r w:rsidRPr="00B94E33">
        <w:rPr>
          <w:rFonts w:ascii="Times New Roman" w:hAnsi="Times New Roman" w:cs="Times New Roman"/>
          <w:szCs w:val="24"/>
          <w:lang w:val="en-GB"/>
        </w:rPr>
        <w:t xml:space="preserve">§§ </w:t>
      </w:r>
      <w:r w:rsidRPr="00B94E33">
        <w:rPr>
          <w:rFonts w:cs="Times New Roman"/>
          <w:lang w:val="en-GB"/>
        </w:rPr>
        <w:t xml:space="preserve">129-130 of </w:t>
      </w:r>
      <w:r w:rsidRPr="00B94E33">
        <w:rPr>
          <w:rFonts w:cs="Times New Roman"/>
          <w:i/>
          <w:iCs/>
          <w:lang w:val="en-GB"/>
        </w:rPr>
        <w:t>Opuz v. Turkey</w:t>
      </w:r>
      <w:r w:rsidRPr="00B94E33">
        <w:rPr>
          <w:rFonts w:cs="Times New Roman"/>
          <w:iCs/>
          <w:lang w:val="en-GB"/>
        </w:rPr>
        <w:t xml:space="preserve">, are </w:t>
      </w:r>
      <w:r w:rsidRPr="00B94E33">
        <w:rPr>
          <w:rFonts w:cs="Times New Roman"/>
          <w:lang w:val="en-GB"/>
        </w:rPr>
        <w:t>not fully reflected in the majority</w:t>
      </w:r>
      <w:r w:rsidR="00B94E33" w:rsidRPr="00B94E33">
        <w:rPr>
          <w:rFonts w:cs="Times New Roman"/>
          <w:lang w:val="en-GB"/>
        </w:rPr>
        <w:t>’</w:t>
      </w:r>
      <w:r w:rsidRPr="00B94E33">
        <w:rPr>
          <w:rFonts w:cs="Times New Roman"/>
          <w:lang w:val="en-GB"/>
        </w:rPr>
        <w:t>s judgment which, in parti</w:t>
      </w:r>
      <w:r w:rsidRPr="00B94E33">
        <w:rPr>
          <w:rFonts w:cs="Times New Roman"/>
          <w:lang w:val="en-GB"/>
        </w:rPr>
        <w:softHyphen/>
        <w:t>cular, fails to take account of the difficulties in policing modern societies, the unpredictability of human conduct and the operational choices which must be made in terms of priorities and resources, the Court being required to interpret the scope of the Article 2 positive obligation in a way which does not impose an impossible or disproportionate burden on the authorities. Indeed, “</w:t>
      </w:r>
      <w:r w:rsidRPr="00B94E33">
        <w:rPr>
          <w:rFonts w:cs="Times New Roman"/>
          <w:bCs/>
          <w:lang w:val="en-GB"/>
        </w:rPr>
        <w:t>the need to ensure that the police exercise their powers to control and prevent crime in a manner which fully respects due process and other guarantees which legitimately place restraints on the scope of their action to investigate crime and bring offenders to justice, including the g</w:t>
      </w:r>
      <w:r w:rsidR="009A4363" w:rsidRPr="00B94E33">
        <w:rPr>
          <w:rFonts w:cs="Times New Roman"/>
          <w:bCs/>
          <w:lang w:val="en-GB"/>
        </w:rPr>
        <w:t>uarantees contained in Articles </w:t>
      </w:r>
      <w:r w:rsidRPr="00B94E33">
        <w:rPr>
          <w:rFonts w:cs="Times New Roman"/>
          <w:bCs/>
          <w:lang w:val="en-GB"/>
        </w:rPr>
        <w:t xml:space="preserve">5 and 8 of the Convention”, is a particularly relevant consideration in cases such as these (see </w:t>
      </w:r>
      <w:r w:rsidRPr="00B94E33">
        <w:rPr>
          <w:rFonts w:cs="Times New Roman"/>
          <w:bCs/>
          <w:i/>
          <w:lang w:val="en-GB"/>
        </w:rPr>
        <w:t>Opuz</w:t>
      </w:r>
      <w:r w:rsidRPr="00B94E33">
        <w:rPr>
          <w:rFonts w:cs="Times New Roman"/>
          <w:bCs/>
          <w:lang w:val="en-GB"/>
        </w:rPr>
        <w:t xml:space="preserve">, </w:t>
      </w:r>
      <w:r w:rsidRPr="00B94E33">
        <w:rPr>
          <w:rFonts w:ascii="Times New Roman" w:hAnsi="Times New Roman" w:cs="Times New Roman"/>
          <w:szCs w:val="24"/>
          <w:lang w:val="en-GB"/>
        </w:rPr>
        <w:t xml:space="preserve">§ </w:t>
      </w:r>
      <w:r w:rsidRPr="00B94E33">
        <w:rPr>
          <w:rFonts w:cs="Times New Roman"/>
          <w:bCs/>
          <w:lang w:val="en-GB"/>
        </w:rPr>
        <w:t>129).</w:t>
      </w:r>
    </w:p>
    <w:p w:rsidR="009A4363" w:rsidRPr="00B94E33" w:rsidRDefault="00713619" w:rsidP="00B94E33">
      <w:pPr>
        <w:pStyle w:val="OpiPara"/>
        <w:rPr>
          <w:rFonts w:cs="Times New Roman"/>
          <w:lang w:val="en-GB"/>
        </w:rPr>
      </w:pPr>
      <w:r w:rsidRPr="00B94E33">
        <w:rPr>
          <w:rFonts w:cs="Times New Roman"/>
          <w:bCs/>
          <w:lang w:val="en-GB"/>
        </w:rPr>
        <w:t>11.</w:t>
      </w:r>
      <w:r w:rsidR="00137E7F" w:rsidRPr="00B94E33">
        <w:rPr>
          <w:rFonts w:cs="Times New Roman"/>
          <w:bCs/>
          <w:lang w:val="en-GB"/>
        </w:rPr>
        <w:t>  </w:t>
      </w:r>
      <w:r w:rsidRPr="00B94E33">
        <w:rPr>
          <w:rFonts w:cs="Times New Roman"/>
          <w:lang w:val="en-GB"/>
        </w:rPr>
        <w:t xml:space="preserve">It is unclear what Convention-compliant measures the police could have taken on the night in question to avoid the ultimate tragic outcome. Despite finding, in </w:t>
      </w:r>
      <w:r w:rsidRPr="00B94E33">
        <w:rPr>
          <w:rFonts w:ascii="Times New Roman" w:hAnsi="Times New Roman" w:cs="Times New Roman"/>
          <w:szCs w:val="24"/>
          <w:lang w:val="en-GB"/>
        </w:rPr>
        <w:t xml:space="preserve">paragraph </w:t>
      </w:r>
      <w:r w:rsidRPr="00B94E33">
        <w:rPr>
          <w:rFonts w:cs="Times New Roman"/>
          <w:lang w:val="en-GB"/>
        </w:rPr>
        <w:t>122 of the judgment, that possible measures were in existence at the relevant time, the majority fails both to specify the minutiae as well as to explain the feasibility of maintaining adherence to due process and Convention guarantees in the deployment of such measures. In the absence of any evidence or alle</w:t>
      </w:r>
      <w:r w:rsidRPr="00B94E33">
        <w:rPr>
          <w:rFonts w:cs="Times New Roman"/>
          <w:lang w:val="en-GB"/>
        </w:rPr>
        <w:softHyphen/>
        <w:t>gations of violence, the police lacked sufficient grounds to detain A.T. His lethal attack that evening, predicated as it was on volatile and unpredic</w:t>
      </w:r>
      <w:r w:rsidRPr="00B94E33">
        <w:rPr>
          <w:rFonts w:cs="Times New Roman"/>
          <w:lang w:val="en-GB"/>
        </w:rPr>
        <w:softHyphen/>
        <w:t>table human behaviour rather than ongoing and repeated direct or indirect threats to life, could not in my view have been reasonably foreseen by the police.</w:t>
      </w:r>
    </w:p>
    <w:p w:rsidR="00713619" w:rsidRPr="00B94E33" w:rsidRDefault="00713619" w:rsidP="00B94E33">
      <w:pPr>
        <w:pStyle w:val="OpiPara"/>
        <w:rPr>
          <w:rFonts w:cs="Times New Roman"/>
        </w:rPr>
      </w:pPr>
      <w:r w:rsidRPr="00B94E33">
        <w:rPr>
          <w:rFonts w:cs="Times New Roman"/>
          <w:lang w:val="en-GB"/>
        </w:rPr>
        <w:t>12.</w:t>
      </w:r>
      <w:r w:rsidR="00137E7F" w:rsidRPr="00B94E33">
        <w:rPr>
          <w:rFonts w:cs="Times New Roman"/>
          <w:lang w:val="en-GB"/>
        </w:rPr>
        <w:t>  </w:t>
      </w:r>
      <w:r w:rsidRPr="00B94E33">
        <w:rPr>
          <w:rFonts w:cs="Times New Roman"/>
          <w:lang w:val="en-GB"/>
        </w:rPr>
        <w:t xml:space="preserve">Judge Eicke argues in his partly concurring, partly dissenting opinion, that </w:t>
      </w:r>
      <w:r w:rsidRPr="00B94E33">
        <w:rPr>
          <w:rFonts w:cs="Times New Roman"/>
        </w:rPr>
        <w:t>there seems to be no obvious reason why any short-term preventative intervention by the police authorities, whether in the form of an enforced return to hospital or otherwise, until (and only until) the applicant</w:t>
      </w:r>
      <w:r w:rsidR="00B94E33" w:rsidRPr="00B94E33">
        <w:rPr>
          <w:rFonts w:cs="Times New Roman"/>
        </w:rPr>
        <w:t>’</w:t>
      </w:r>
      <w:r w:rsidRPr="00B94E33">
        <w:rPr>
          <w:rFonts w:cs="Times New Roman"/>
        </w:rPr>
        <w:t xml:space="preserve">s husband was sober would have been inconsistent with </w:t>
      </w:r>
      <w:r w:rsidR="009A4363" w:rsidRPr="00B94E33">
        <w:rPr>
          <w:rFonts w:cs="Times New Roman"/>
        </w:rPr>
        <w:t>his rights either under Article </w:t>
      </w:r>
      <w:r w:rsidRPr="00B94E33">
        <w:rPr>
          <w:rFonts w:cs="Times New Roman"/>
        </w:rPr>
        <w:t>5 or Article 8 of the Con</w:t>
      </w:r>
      <w:r w:rsidRPr="00B94E33">
        <w:rPr>
          <w:rFonts w:cs="Times New Roman"/>
        </w:rPr>
        <w:softHyphen/>
        <w:t>vention. However, in my view the Court should be very careful in making findings on the possible legality of hypothetical police measures under Article 5 when such arguments have neither been raised before it nor the domestic courts.</w:t>
      </w:r>
    </w:p>
    <w:p w:rsidR="009A4363" w:rsidRPr="00B94E33" w:rsidRDefault="00713619" w:rsidP="00B94E33">
      <w:pPr>
        <w:pStyle w:val="OpiPara"/>
        <w:rPr>
          <w:rFonts w:cs="Times New Roman"/>
          <w:lang w:val="en-GB"/>
        </w:rPr>
      </w:pPr>
      <w:r w:rsidRPr="00B94E33">
        <w:rPr>
          <w:rFonts w:cs="Times New Roman"/>
          <w:bCs/>
          <w:lang w:val="en-GB"/>
        </w:rPr>
        <w:t>13.</w:t>
      </w:r>
      <w:r w:rsidR="00137E7F" w:rsidRPr="00B94E33">
        <w:rPr>
          <w:rFonts w:cs="Times New Roman"/>
          <w:bCs/>
          <w:lang w:val="en-GB"/>
        </w:rPr>
        <w:t>  </w:t>
      </w:r>
      <w:r w:rsidRPr="00B94E33">
        <w:rPr>
          <w:rFonts w:cs="Times New Roman"/>
          <w:bCs/>
          <w:lang w:val="en-GB"/>
        </w:rPr>
        <w:t xml:space="preserve">Importantly, it has in no way been demonstrated before this Court that the arrest or detention of A.T. on 25 November 2013 could have been lawful under Article 5 </w:t>
      </w:r>
      <w:r w:rsidRPr="00B94E33">
        <w:rPr>
          <w:rFonts w:ascii="Times New Roman" w:hAnsi="Times New Roman" w:cs="Times New Roman"/>
          <w:szCs w:val="24"/>
          <w:lang w:val="en-GB"/>
        </w:rPr>
        <w:t xml:space="preserve">§ </w:t>
      </w:r>
      <w:r w:rsidRPr="00B94E33">
        <w:rPr>
          <w:rFonts w:cs="Times New Roman"/>
          <w:bCs/>
          <w:lang w:val="en-GB"/>
        </w:rPr>
        <w:t xml:space="preserve">1 (c), since, in the terms of that provision, there was </w:t>
      </w:r>
      <w:r w:rsidRPr="00B94E33">
        <w:rPr>
          <w:rFonts w:cs="Times New Roman"/>
          <w:bCs/>
          <w:lang w:val="en-GB"/>
        </w:rPr>
        <w:lastRenderedPageBreak/>
        <w:t xml:space="preserve">no reasonable suspicion of him having committed an offence. Nor could his arrest or detention have been reasonably considered necessary to prevent his committing an offence, since, as was apparent both from the situation as seen by the police and from the exchanges with the applicant and her son, no threats had been made and no actual violence had occurred. On what basis, then, could he have been detained, arrested or held at a hospital against his will, bearing in mind that </w:t>
      </w:r>
      <w:r w:rsidRPr="00B94E33">
        <w:rPr>
          <w:rFonts w:cs="Times New Roman"/>
          <w:lang w:val="en-GB"/>
        </w:rPr>
        <w:t>having a “reasonable suspicion” presupposes the existence of facts or infor</w:t>
      </w:r>
      <w:r w:rsidRPr="00B94E33">
        <w:rPr>
          <w:rFonts w:cs="Times New Roman"/>
          <w:lang w:val="en-GB"/>
        </w:rPr>
        <w:softHyphen/>
        <w:t>mation which would satisfy an objective observer that he may have committed an offence and that there can clearly not be a “reasonable suspicion” if the acts or facts held against him, such as being drunk at home, did not constitute a crime at the time when they occurred?</w:t>
      </w:r>
    </w:p>
    <w:p w:rsidR="009A4363" w:rsidRPr="00B94E33" w:rsidRDefault="00713619" w:rsidP="00B94E33">
      <w:pPr>
        <w:pStyle w:val="OpiPara"/>
        <w:rPr>
          <w:rFonts w:cs="Times New Roman"/>
          <w:lang w:val="en-GB"/>
        </w:rPr>
      </w:pPr>
      <w:r w:rsidRPr="00B94E33">
        <w:rPr>
          <w:rFonts w:cs="Times New Roman"/>
          <w:lang w:val="en-GB"/>
        </w:rPr>
        <w:t>14.</w:t>
      </w:r>
      <w:r w:rsidR="00137E7F" w:rsidRPr="00B94E33">
        <w:rPr>
          <w:rFonts w:cs="Times New Roman"/>
          <w:lang w:val="en-GB"/>
        </w:rPr>
        <w:t>  </w:t>
      </w:r>
      <w:r w:rsidRPr="00B94E33">
        <w:rPr>
          <w:rFonts w:cs="Times New Roman"/>
          <w:lang w:val="en-GB"/>
        </w:rPr>
        <w:t>The fact remains that, tragically, on 25 November 2013 the police did all they could by physically removing him from the premises in taking him to hospital, but they could not have kept him there by force. Furthermore, unlike Judge Eicke, I am unable to accept that the facts surrounding the police inter</w:t>
      </w:r>
      <w:r w:rsidRPr="00B94E33">
        <w:rPr>
          <w:rFonts w:cs="Times New Roman"/>
          <w:lang w:val="en-GB"/>
        </w:rPr>
        <w:softHyphen/>
        <w:t>vention on the street at 2.25 am on the night in question provided the police with any actionable information, even when reasonably viewed in context with other available information, about a real and immediate risk to the lives of the applicant and her children. In fact, with the exception of the drunken state of the applicant</w:t>
      </w:r>
      <w:r w:rsidR="00B94E33" w:rsidRPr="00B94E33">
        <w:rPr>
          <w:rFonts w:cs="Times New Roman"/>
          <w:lang w:val="en-GB"/>
        </w:rPr>
        <w:t>’</w:t>
      </w:r>
      <w:r w:rsidRPr="00B94E33">
        <w:rPr>
          <w:rFonts w:cs="Times New Roman"/>
          <w:lang w:val="en-GB"/>
        </w:rPr>
        <w:t>s husband, which alone does not suffice for these purposes, there were no comments, threats or other behavioural signs that could have justified the deployment by the police of operational measures of arrest or detention at that point.</w:t>
      </w:r>
    </w:p>
    <w:p w:rsidR="00713619" w:rsidRPr="00B94E33" w:rsidRDefault="00713619" w:rsidP="00B94E33">
      <w:pPr>
        <w:pStyle w:val="OpiPara"/>
        <w:rPr>
          <w:rFonts w:cs="Times New Roman"/>
          <w:bCs/>
          <w:lang w:val="en-GB"/>
        </w:rPr>
      </w:pPr>
      <w:r w:rsidRPr="00B94E33">
        <w:rPr>
          <w:rFonts w:cs="Times New Roman"/>
          <w:lang w:val="en-GB"/>
        </w:rPr>
        <w:t>15.</w:t>
      </w:r>
      <w:r w:rsidR="00137E7F" w:rsidRPr="00B94E33">
        <w:rPr>
          <w:rFonts w:cs="Times New Roman"/>
          <w:lang w:val="en-GB"/>
        </w:rPr>
        <w:t>  </w:t>
      </w:r>
      <w:r w:rsidRPr="00B94E33">
        <w:rPr>
          <w:rFonts w:cs="Times New Roman"/>
          <w:lang w:val="en-GB"/>
        </w:rPr>
        <w:t xml:space="preserve">In short, </w:t>
      </w:r>
      <w:r w:rsidRPr="00B94E33">
        <w:rPr>
          <w:bCs/>
          <w:lang w:val="en-GB"/>
        </w:rPr>
        <w:t>t</w:t>
      </w:r>
      <w:r w:rsidRPr="00B94E33">
        <w:rPr>
          <w:lang w:val="en-GB"/>
        </w:rPr>
        <w:t>he doctrine of positive obligations cannot remedy all human rights violations occurring in the private sphere if due process considerations, also worthy of Convention protection, are not to be rendered obsolete.</w:t>
      </w:r>
      <w:r w:rsidRPr="00B94E33">
        <w:rPr>
          <w:rFonts w:cs="Times New Roman"/>
          <w:lang w:val="en-GB"/>
        </w:rPr>
        <w:t xml:space="preserve"> In other words, it is true that the States are under a Convention-based positive obligation effec</w:t>
      </w:r>
      <w:r w:rsidRPr="00B94E33">
        <w:rPr>
          <w:rFonts w:cs="Times New Roman"/>
          <w:lang w:val="en-GB"/>
        </w:rPr>
        <w:softHyphen/>
        <w:t>tively to combat domestic violence. But that fight, like any other campaign by Government to safeguard the lives and protect the physical integrity of its citizens, must be fought within the boundarie</w:t>
      </w:r>
      <w:r w:rsidR="00137E7F" w:rsidRPr="00B94E33">
        <w:rPr>
          <w:rFonts w:cs="Times New Roman"/>
          <w:lang w:val="en-GB"/>
        </w:rPr>
        <w:t>s of the law, not outside them.</w:t>
      </w:r>
    </w:p>
    <w:p w:rsidR="00713619" w:rsidRPr="00B94E33" w:rsidRDefault="00713619" w:rsidP="00B94E33">
      <w:pPr>
        <w:pStyle w:val="OpiPara"/>
        <w:rPr>
          <w:bCs/>
          <w:lang w:val="en-GB"/>
        </w:rPr>
      </w:pPr>
      <w:r w:rsidRPr="00B94E33">
        <w:rPr>
          <w:lang w:val="en-GB"/>
        </w:rPr>
        <w:t>16</w:t>
      </w:r>
      <w:r w:rsidRPr="00B94E33">
        <w:rPr>
          <w:rFonts w:cs="Times New Roman"/>
          <w:lang w:val="en-GB"/>
        </w:rPr>
        <w:t>.</w:t>
      </w:r>
      <w:r w:rsidR="00137E7F" w:rsidRPr="00B94E33">
        <w:rPr>
          <w:rFonts w:cs="Times New Roman"/>
          <w:lang w:val="en-GB"/>
        </w:rPr>
        <w:t>  </w:t>
      </w:r>
      <w:r w:rsidRPr="00B94E33">
        <w:rPr>
          <w:rFonts w:cs="Times New Roman"/>
          <w:lang w:val="en-GB"/>
        </w:rPr>
        <w:t>Finally, it is all too easy to review tragic circumstances with the benefit of hindsight and impute responsibility where, on an objective and dispassionate analysis, there can be none. There is a limit on how far positive obligations under Article 2 can extend to shield victims from unforeseen attacks without imposing unrealistic obligations on the police accurately to forecast human behaviour and to act on those prognostications by unduly restricting other Convention rights. Alt</w:t>
      </w:r>
      <w:r w:rsidRPr="00B94E33">
        <w:rPr>
          <w:lang w:val="en-GB"/>
        </w:rPr>
        <w:t>hough it may be tempting to dilu</w:t>
      </w:r>
      <w:r w:rsidRPr="00B94E33">
        <w:rPr>
          <w:rFonts w:cs="Times New Roman"/>
          <w:lang w:val="en-GB"/>
        </w:rPr>
        <w:t xml:space="preserve">te legal concepts such as the </w:t>
      </w:r>
      <w:r w:rsidRPr="00B94E33">
        <w:rPr>
          <w:rFonts w:cs="Times New Roman"/>
          <w:i/>
          <w:lang w:val="en-GB"/>
        </w:rPr>
        <w:t>Osman</w:t>
      </w:r>
      <w:r w:rsidRPr="00B94E33">
        <w:rPr>
          <w:rFonts w:cs="Times New Roman"/>
          <w:lang w:val="en-GB"/>
        </w:rPr>
        <w:t xml:space="preserve"> test when faced with heart-rending facts and give solace to individuals in situations such as that of the applicant, there are reasons why the threshold under the Convention is set high, and, in my view, why it must continue to remain so.</w:t>
      </w:r>
      <w:r w:rsidRPr="00B94E33">
        <w:rPr>
          <w:bCs/>
          <w:lang w:val="en-GB"/>
        </w:rPr>
        <w:t xml:space="preserve"> </w:t>
      </w:r>
      <w:r w:rsidRPr="00B94E33">
        <w:rPr>
          <w:rFonts w:cs="Times New Roman"/>
          <w:lang w:val="en-GB"/>
        </w:rPr>
        <w:t xml:space="preserve">Even in the field </w:t>
      </w:r>
      <w:r w:rsidRPr="00B94E33">
        <w:rPr>
          <w:rFonts w:cs="Times New Roman"/>
          <w:lang w:val="en-GB"/>
        </w:rPr>
        <w:lastRenderedPageBreak/>
        <w:t>of domestic violence the ends cannot justify the means in a democratic society governed by the rule of law.</w:t>
      </w:r>
    </w:p>
    <w:p w:rsidR="00713619" w:rsidRPr="00B94E33" w:rsidRDefault="004B031B" w:rsidP="00B94E33">
      <w:pPr>
        <w:pStyle w:val="OpiHA0"/>
        <w:rPr>
          <w:lang w:val="en-GB"/>
        </w:rPr>
      </w:pPr>
      <w:r w:rsidRPr="00B94E33">
        <w:rPr>
          <w:lang w:val="en-GB"/>
        </w:rPr>
        <w:t>III.  </w:t>
      </w:r>
      <w:r w:rsidR="00713619" w:rsidRPr="00B94E33">
        <w:rPr>
          <w:lang w:val="en-GB"/>
        </w:rPr>
        <w:t>Systemic gender discrimination under Article 14 of the Convention</w:t>
      </w:r>
    </w:p>
    <w:p w:rsidR="009A4363" w:rsidRPr="00B94E33" w:rsidRDefault="00713619" w:rsidP="00B94E33">
      <w:pPr>
        <w:pStyle w:val="OpiPara"/>
        <w:rPr>
          <w:lang w:val="en-GB"/>
        </w:rPr>
      </w:pPr>
      <w:r w:rsidRPr="00B94E33">
        <w:rPr>
          <w:lang w:val="en-GB"/>
        </w:rPr>
        <w:t>17.</w:t>
      </w:r>
      <w:r w:rsidR="00137E7F" w:rsidRPr="00B94E33">
        <w:rPr>
          <w:lang w:val="en-GB"/>
        </w:rPr>
        <w:t>  </w:t>
      </w:r>
      <w:r w:rsidRPr="00B94E33">
        <w:rPr>
          <w:lang w:val="en-GB"/>
        </w:rPr>
        <w:t>Judge Eicke and I are in agreement that a case for a violation of Article 14 of the Convention, taken in conjunction with Article 2 and 3, has not been made out on the facts and the materials before the Court and I largely agree with his reasoning in his separate opinion. I would only like to highlight the following elements.</w:t>
      </w:r>
    </w:p>
    <w:p w:rsidR="009A4363" w:rsidRPr="00B94E33" w:rsidRDefault="00713619" w:rsidP="00B94E33">
      <w:pPr>
        <w:pStyle w:val="OpiPara"/>
        <w:rPr>
          <w:rFonts w:ascii="Times New Roman" w:hAnsi="Times New Roman"/>
          <w:szCs w:val="24"/>
          <w:lang w:val="en-GB"/>
        </w:rPr>
      </w:pPr>
      <w:r w:rsidRPr="00B94E33">
        <w:rPr>
          <w:lang w:val="en-GB"/>
        </w:rPr>
        <w:t>18.</w:t>
      </w:r>
      <w:r w:rsidR="00137E7F" w:rsidRPr="00B94E33">
        <w:rPr>
          <w:lang w:val="en-GB"/>
        </w:rPr>
        <w:t>  </w:t>
      </w:r>
      <w:r w:rsidRPr="00B94E33">
        <w:rPr>
          <w:lang w:val="en-GB"/>
        </w:rPr>
        <w:t xml:space="preserve">The Court has previously concluded, in the landmark </w:t>
      </w:r>
      <w:r w:rsidRPr="00B94E33">
        <w:rPr>
          <w:i/>
          <w:lang w:val="en-GB"/>
        </w:rPr>
        <w:t>Opuz</w:t>
      </w:r>
      <w:r w:rsidRPr="00B94E33">
        <w:rPr>
          <w:lang w:val="en-GB"/>
        </w:rPr>
        <w:t xml:space="preserve"> judgment, that general </w:t>
      </w:r>
      <w:r w:rsidRPr="00B94E33">
        <w:rPr>
          <w:rFonts w:ascii="Times New Roman" w:hAnsi="Times New Roman"/>
          <w:szCs w:val="24"/>
          <w:lang w:val="en-GB"/>
        </w:rPr>
        <w:t xml:space="preserve">discriminatory judicial passivity creating a climate conducive to domestic violence entails a violation of Article 14 of the Convention, read in conjunction with Articles 2 and 3 (see </w:t>
      </w:r>
      <w:r w:rsidRPr="00B94E33">
        <w:rPr>
          <w:rFonts w:ascii="Times New Roman" w:hAnsi="Times New Roman"/>
          <w:i/>
          <w:szCs w:val="24"/>
          <w:lang w:val="en-GB"/>
        </w:rPr>
        <w:t>Opuz</w:t>
      </w:r>
      <w:r w:rsidRPr="00B94E33">
        <w:rPr>
          <w:rFonts w:ascii="Times New Roman" w:hAnsi="Times New Roman"/>
          <w:szCs w:val="24"/>
          <w:lang w:val="en-GB"/>
        </w:rPr>
        <w:t>, §§</w:t>
      </w:r>
      <w:r w:rsidR="00137E7F" w:rsidRPr="00B94E33">
        <w:rPr>
          <w:rFonts w:ascii="Times New Roman" w:hAnsi="Times New Roman"/>
          <w:szCs w:val="24"/>
          <w:lang w:val="en-GB"/>
        </w:rPr>
        <w:t> </w:t>
      </w:r>
      <w:r w:rsidRPr="00B94E33">
        <w:rPr>
          <w:rFonts w:ascii="Times New Roman" w:hAnsi="Times New Roman"/>
          <w:szCs w:val="24"/>
          <w:lang w:val="en-GB"/>
        </w:rPr>
        <w:t xml:space="preserve">198 and 202). It has further stated that this conclusion will be reached where the actions of the authorities are not a simple failure or delay in dealing with violence, but amount to repeatedly condoning such violence and reflect a discriminatory attitude towards an applicant as a woman (see </w:t>
      </w:r>
      <w:r w:rsidRPr="00B94E33">
        <w:rPr>
          <w:rFonts w:ascii="Times New Roman" w:hAnsi="Times New Roman"/>
          <w:i/>
          <w:szCs w:val="24"/>
          <w:lang w:val="en-GB"/>
        </w:rPr>
        <w:t>Eremia v.</w:t>
      </w:r>
      <w:r w:rsidR="00137E7F" w:rsidRPr="00B94E33">
        <w:rPr>
          <w:rFonts w:ascii="Times New Roman" w:hAnsi="Times New Roman"/>
          <w:i/>
          <w:szCs w:val="24"/>
          <w:lang w:val="en-GB"/>
        </w:rPr>
        <w:t> </w:t>
      </w:r>
      <w:r w:rsidRPr="00B94E33">
        <w:rPr>
          <w:rFonts w:ascii="Times New Roman" w:hAnsi="Times New Roman"/>
          <w:i/>
          <w:szCs w:val="24"/>
          <w:lang w:val="en-GB"/>
        </w:rPr>
        <w:t>the Republic of Moldova</w:t>
      </w:r>
      <w:r w:rsidRPr="00B94E33">
        <w:rPr>
          <w:rFonts w:ascii="Times New Roman" w:hAnsi="Times New Roman"/>
          <w:szCs w:val="24"/>
          <w:lang w:val="en-GB"/>
        </w:rPr>
        <w:t xml:space="preserve">, § 89). Having regard to this high threshold and the previous findings made under this provision with respect to Italy in the case of </w:t>
      </w:r>
      <w:r w:rsidRPr="00B94E33">
        <w:rPr>
          <w:rFonts w:ascii="Times New Roman" w:hAnsi="Times New Roman"/>
          <w:i/>
          <w:szCs w:val="24"/>
          <w:lang w:val="en-GB"/>
        </w:rPr>
        <w:t>Rumor v. Italy</w:t>
      </w:r>
      <w:r w:rsidRPr="00B94E33">
        <w:rPr>
          <w:rFonts w:ascii="Times New Roman" w:hAnsi="Times New Roman"/>
          <w:szCs w:val="24"/>
          <w:lang w:val="en-GB"/>
        </w:rPr>
        <w:t>, I cannot subscribe to the majority</w:t>
      </w:r>
      <w:r w:rsidR="00B94E33" w:rsidRPr="00B94E33">
        <w:rPr>
          <w:rFonts w:ascii="Times New Roman" w:hAnsi="Times New Roman"/>
          <w:szCs w:val="24"/>
          <w:lang w:val="en-GB"/>
        </w:rPr>
        <w:t>’</w:t>
      </w:r>
      <w:r w:rsidRPr="00B94E33">
        <w:rPr>
          <w:rFonts w:ascii="Times New Roman" w:hAnsi="Times New Roman"/>
          <w:szCs w:val="24"/>
          <w:lang w:val="en-GB"/>
        </w:rPr>
        <w:t>s findings that the inaction of the authorities, as manifested in the present case, reflects systemic gender-based discrimination, since there is insufficient evidence to show general and discrimin</w:t>
      </w:r>
      <w:r w:rsidRPr="00B94E33">
        <w:rPr>
          <w:rFonts w:ascii="Times New Roman" w:hAnsi="Times New Roman"/>
          <w:szCs w:val="24"/>
          <w:lang w:val="en-GB"/>
        </w:rPr>
        <w:softHyphen/>
        <w:t>atory passivity of the kind previously established in the Court</w:t>
      </w:r>
      <w:r w:rsidR="00B94E33" w:rsidRPr="00B94E33">
        <w:rPr>
          <w:rFonts w:ascii="Times New Roman" w:hAnsi="Times New Roman"/>
          <w:szCs w:val="24"/>
          <w:lang w:val="en-GB"/>
        </w:rPr>
        <w:t>’</w:t>
      </w:r>
      <w:r w:rsidRPr="00B94E33">
        <w:rPr>
          <w:rFonts w:ascii="Times New Roman" w:hAnsi="Times New Roman"/>
          <w:szCs w:val="24"/>
          <w:lang w:val="en-GB"/>
        </w:rPr>
        <w:t>s case-law.</w:t>
      </w:r>
    </w:p>
    <w:p w:rsidR="00713619" w:rsidRPr="00B94E33" w:rsidRDefault="00713619" w:rsidP="00B94E33">
      <w:pPr>
        <w:pStyle w:val="OpiPara"/>
        <w:rPr>
          <w:lang w:val="en-GB"/>
        </w:rPr>
      </w:pPr>
      <w:r w:rsidRPr="00B94E33">
        <w:rPr>
          <w:rFonts w:ascii="Times New Roman" w:hAnsi="Times New Roman"/>
          <w:szCs w:val="24"/>
          <w:lang w:val="en-GB"/>
        </w:rPr>
        <w:t>19.</w:t>
      </w:r>
      <w:r w:rsidR="00137E7F" w:rsidRPr="00B94E33">
        <w:rPr>
          <w:rFonts w:ascii="Times New Roman" w:hAnsi="Times New Roman"/>
          <w:szCs w:val="24"/>
          <w:lang w:val="en-GB"/>
        </w:rPr>
        <w:t>  </w:t>
      </w:r>
      <w:r w:rsidRPr="00B94E33">
        <w:rPr>
          <w:rFonts w:ascii="Times New Roman" w:hAnsi="Times New Roman"/>
          <w:szCs w:val="24"/>
          <w:lang w:val="en-GB"/>
        </w:rPr>
        <w:t xml:space="preserve">The Court in </w:t>
      </w:r>
      <w:r w:rsidRPr="00B94E33">
        <w:rPr>
          <w:rFonts w:ascii="Times New Roman" w:hAnsi="Times New Roman"/>
          <w:i/>
          <w:szCs w:val="24"/>
          <w:lang w:val="en-GB"/>
        </w:rPr>
        <w:t>Opuz</w:t>
      </w:r>
      <w:r w:rsidRPr="00B94E33">
        <w:rPr>
          <w:rFonts w:ascii="Times New Roman" w:hAnsi="Times New Roman"/>
          <w:szCs w:val="24"/>
          <w:lang w:val="en-GB"/>
        </w:rPr>
        <w:t xml:space="preserve"> made clear the elements tending to show an Article 14 violation in this sphere. It made reference to the overall unresponsiveness of the judicial system and the impunity enjoyed by aggressors. In particular, it noted the manner in which female victims were treated at police stations, with reports indicating that when they reported domestic violence, police officers tried to persuade them to return home and drop their complaint, seeing the problem as a family matter with which they could not interfere. The perpetrators of domestic violence did not seem to receive dissuasive punishments, with the courts mitigating sentences on the grounds of custom, tradition or “honour”. </w:t>
      </w:r>
      <w:r w:rsidRPr="00B94E33">
        <w:rPr>
          <w:lang w:val="en-GB"/>
        </w:rPr>
        <w:t xml:space="preserve">These findings were confirmed in </w:t>
      </w:r>
      <w:r w:rsidRPr="00B94E33">
        <w:rPr>
          <w:i/>
          <w:lang w:val="en-GB"/>
        </w:rPr>
        <w:t>Halime</w:t>
      </w:r>
      <w:r w:rsidRPr="00B94E33">
        <w:rPr>
          <w:lang w:val="en-GB"/>
        </w:rPr>
        <w:t xml:space="preserve"> </w:t>
      </w:r>
      <w:r w:rsidRPr="00B94E33">
        <w:rPr>
          <w:i/>
          <w:lang w:val="en-GB"/>
        </w:rPr>
        <w:t>Kılıç v. Turkey</w:t>
      </w:r>
      <w:r w:rsidRPr="00B94E33">
        <w:rPr>
          <w:lang w:val="en-GB"/>
        </w:rPr>
        <w:t>, the Court highlighting the wilful refusal of the authorities to accept the seriousness of the incidents of domestic violence. In regularly turning a blind eye to the repeated acts of violence and death threats, the authorities had created a climate that was conducive to domestic violence. In both cases, the Court found that the inactivity, delays and, in particular, attempts to dissuade women from lodging complaints that characterised the treatment of domestic violence claims in Turkey stemmed directly from the discriminatory attitudes of the authorities.</w:t>
      </w:r>
    </w:p>
    <w:p w:rsidR="00713619" w:rsidRPr="00B94E33" w:rsidRDefault="00713619" w:rsidP="00B94E33">
      <w:pPr>
        <w:pStyle w:val="OpiPara"/>
        <w:rPr>
          <w:lang w:val="en-GB"/>
        </w:rPr>
      </w:pPr>
      <w:r w:rsidRPr="00B94E33">
        <w:rPr>
          <w:rFonts w:ascii="Times New Roman" w:hAnsi="Times New Roman"/>
          <w:szCs w:val="24"/>
          <w:lang w:val="en-GB"/>
        </w:rPr>
        <w:lastRenderedPageBreak/>
        <w:t>20.</w:t>
      </w:r>
      <w:r w:rsidR="00346ED5" w:rsidRPr="00B94E33">
        <w:rPr>
          <w:rFonts w:ascii="Times New Roman" w:hAnsi="Times New Roman"/>
          <w:szCs w:val="24"/>
          <w:lang w:val="en-GB"/>
        </w:rPr>
        <w:t>  </w:t>
      </w:r>
      <w:r w:rsidRPr="00B94E33">
        <w:rPr>
          <w:rFonts w:ascii="Times New Roman" w:hAnsi="Times New Roman"/>
          <w:szCs w:val="24"/>
          <w:lang w:val="en-GB"/>
        </w:rPr>
        <w:t xml:space="preserve">In contrast, and more in line with the facts of the present case, in </w:t>
      </w:r>
      <w:r w:rsidRPr="00B94E33">
        <w:rPr>
          <w:rFonts w:ascii="Times New Roman" w:hAnsi="Times New Roman"/>
          <w:i/>
          <w:szCs w:val="24"/>
          <w:lang w:val="en-GB"/>
        </w:rPr>
        <w:t>A.</w:t>
      </w:r>
      <w:r w:rsidR="00346ED5" w:rsidRPr="00B94E33">
        <w:rPr>
          <w:rFonts w:ascii="Times New Roman" w:hAnsi="Times New Roman"/>
          <w:i/>
          <w:szCs w:val="24"/>
          <w:lang w:val="en-GB"/>
        </w:rPr>
        <w:t> </w:t>
      </w:r>
      <w:r w:rsidRPr="00B94E33">
        <w:rPr>
          <w:rFonts w:ascii="Times New Roman" w:hAnsi="Times New Roman"/>
          <w:i/>
          <w:szCs w:val="24"/>
          <w:lang w:val="en-GB"/>
        </w:rPr>
        <w:t>v. Croatia</w:t>
      </w:r>
      <w:r w:rsidRPr="00B94E33">
        <w:rPr>
          <w:rFonts w:ascii="Times New Roman" w:hAnsi="Times New Roman"/>
          <w:szCs w:val="24"/>
          <w:lang w:val="en-GB"/>
        </w:rPr>
        <w:t xml:space="preserve">, </w:t>
      </w:r>
      <w:r w:rsidRPr="00B94E33">
        <w:rPr>
          <w:lang w:val="en-GB"/>
        </w:rPr>
        <w:t xml:space="preserve">no. 55164/08, </w:t>
      </w:r>
      <w:r w:rsidRPr="00B94E33">
        <w:rPr>
          <w:rFonts w:ascii="Times New Roman" w:hAnsi="Times New Roman"/>
          <w:szCs w:val="24"/>
          <w:lang w:val="en-GB"/>
        </w:rPr>
        <w:t xml:space="preserve">§ 97, </w:t>
      </w:r>
      <w:r w:rsidRPr="00B94E33">
        <w:rPr>
          <w:lang w:val="en-GB"/>
        </w:rPr>
        <w:t>14 October 2010</w:t>
      </w:r>
      <w:r w:rsidRPr="00B94E33">
        <w:rPr>
          <w:rFonts w:ascii="Times New Roman" w:hAnsi="Times New Roman"/>
          <w:szCs w:val="24"/>
          <w:lang w:val="en-GB"/>
        </w:rPr>
        <w:t>, the Court concluded that there was insufficient statistical or other information disclosing an appearance of discriminatory treatment of female victims of domestic violence on the part of authorities such as the police, law enforcement or healthcare personnel, social services, prosecutors or judges. The applicant did not allege that any officials had tried to dissuade her from pursuing the prosecution of the aggressor or giving evidence against him, or that they had tried in any other manner to hamper her efforts to seek protection against his violence.</w:t>
      </w:r>
      <w:r w:rsidRPr="00B94E33">
        <w:rPr>
          <w:rFonts w:eastAsia="Times New Roman"/>
          <w:lang w:val="en-GB"/>
        </w:rPr>
        <w:t xml:space="preserve"> T</w:t>
      </w:r>
      <w:r w:rsidRPr="00B94E33">
        <w:rPr>
          <w:lang w:val="en-GB"/>
        </w:rPr>
        <w:t>he Court thus declared the applicant</w:t>
      </w:r>
      <w:r w:rsidR="00B94E33" w:rsidRPr="00B94E33">
        <w:rPr>
          <w:lang w:val="en-GB"/>
        </w:rPr>
        <w:t>’</w:t>
      </w:r>
      <w:r w:rsidRPr="00B94E33">
        <w:rPr>
          <w:lang w:val="en-GB"/>
        </w:rPr>
        <w:t>s complaint under Article 14 inadmissible, since she had failed to provide sufficient evidence that the practices adopted in Croatia as regards domestic violence were discriminatory.</w:t>
      </w:r>
    </w:p>
    <w:p w:rsidR="00713619" w:rsidRPr="00B94E33" w:rsidRDefault="00713619" w:rsidP="00B94E33">
      <w:pPr>
        <w:pStyle w:val="OpiPara"/>
        <w:rPr>
          <w:rFonts w:ascii="Times New Roman" w:hAnsi="Times New Roman"/>
          <w:b/>
          <w:szCs w:val="24"/>
          <w:lang w:val="en-GB"/>
        </w:rPr>
      </w:pPr>
      <w:r w:rsidRPr="00B94E33">
        <w:rPr>
          <w:lang w:val="en-GB"/>
        </w:rPr>
        <w:t>21.</w:t>
      </w:r>
      <w:r w:rsidR="00346ED5" w:rsidRPr="00B94E33">
        <w:rPr>
          <w:lang w:val="en-GB"/>
        </w:rPr>
        <w:t>  </w:t>
      </w:r>
      <w:r w:rsidRPr="00B94E33">
        <w:rPr>
          <w:lang w:val="en-GB"/>
        </w:rPr>
        <w:t xml:space="preserve">Importantly, the Court has previously found that where the </w:t>
      </w:r>
      <w:r w:rsidRPr="00B94E33">
        <w:rPr>
          <w:rFonts w:ascii="Times New Roman" w:hAnsi="Times New Roman"/>
          <w:szCs w:val="24"/>
          <w:lang w:val="en-GB"/>
        </w:rPr>
        <w:t xml:space="preserve">legislative framework cannot be said to be discriminatory, even if not all the sanctions and measures ordered or recommended are in fact complied with, this failure “does not in itself disclose an appearance of discrimination or discriminatory intent on the basis of gender” (see </w:t>
      </w:r>
      <w:r w:rsidRPr="00B94E33">
        <w:rPr>
          <w:rFonts w:ascii="Times New Roman" w:hAnsi="Times New Roman"/>
          <w:i/>
          <w:szCs w:val="24"/>
          <w:lang w:val="en-GB"/>
        </w:rPr>
        <w:t>A. v. Croatia</w:t>
      </w:r>
      <w:r w:rsidRPr="00B94E33">
        <w:rPr>
          <w:rFonts w:ascii="Times New Roman" w:hAnsi="Times New Roman"/>
          <w:szCs w:val="24"/>
          <w:lang w:val="en-GB"/>
        </w:rPr>
        <w:t>, § 101)</w:t>
      </w:r>
      <w:r w:rsidRPr="00B94E33">
        <w:rPr>
          <w:lang w:val="en-GB"/>
        </w:rPr>
        <w:t xml:space="preserve">. </w:t>
      </w:r>
      <w:r w:rsidRPr="00B94E33">
        <w:rPr>
          <w:bCs/>
          <w:lang w:val="en-GB"/>
        </w:rPr>
        <w:t xml:space="preserve">Thus societal discrimination and high levels of domestic violence, as referenced by the judgment at </w:t>
      </w:r>
      <w:r w:rsidRPr="00B94E33">
        <w:rPr>
          <w:rFonts w:ascii="Times New Roman" w:hAnsi="Times New Roman"/>
          <w:szCs w:val="24"/>
          <w:lang w:val="en-GB"/>
        </w:rPr>
        <w:t xml:space="preserve">paragraph </w:t>
      </w:r>
      <w:r w:rsidRPr="00B94E33">
        <w:rPr>
          <w:bCs/>
          <w:lang w:val="en-GB"/>
        </w:rPr>
        <w:t xml:space="preserve">146, are not, in and of themselves, enough to ground a finding of an Article 14 violation; it is the legislative framework and its application by the national authorities that falls to be considered. </w:t>
      </w:r>
      <w:r w:rsidRPr="00B94E33">
        <w:rPr>
          <w:lang w:val="en-GB"/>
        </w:rPr>
        <w:t>In this regard, both in its substantive consideration of Articles</w:t>
      </w:r>
      <w:r w:rsidR="00346ED5" w:rsidRPr="00B94E33">
        <w:rPr>
          <w:lang w:val="en-GB"/>
        </w:rPr>
        <w:t> </w:t>
      </w:r>
      <w:r w:rsidRPr="00B94E33">
        <w:rPr>
          <w:lang w:val="en-GB"/>
        </w:rPr>
        <w:t>2 and 3 as well as in the Article 14 context, the judgment fails to take proper account of the Court</w:t>
      </w:r>
      <w:r w:rsidR="00B94E33" w:rsidRPr="00B94E33">
        <w:rPr>
          <w:lang w:val="en-GB"/>
        </w:rPr>
        <w:t>’</w:t>
      </w:r>
      <w:r w:rsidRPr="00B94E33">
        <w:rPr>
          <w:lang w:val="en-GB"/>
        </w:rPr>
        <w:t xml:space="preserve">s finding in </w:t>
      </w:r>
      <w:r w:rsidRPr="00B94E33">
        <w:rPr>
          <w:i/>
          <w:iCs/>
          <w:lang w:val="en-GB"/>
        </w:rPr>
        <w:t>Rumor v. Italy</w:t>
      </w:r>
      <w:r w:rsidRPr="00B94E33">
        <w:rPr>
          <w:lang w:val="en-GB"/>
        </w:rPr>
        <w:t>, in the context of Article</w:t>
      </w:r>
      <w:r w:rsidR="00346ED5" w:rsidRPr="00B94E33">
        <w:rPr>
          <w:lang w:val="en-GB"/>
        </w:rPr>
        <w:t> </w:t>
      </w:r>
      <w:r w:rsidRPr="00B94E33">
        <w:rPr>
          <w:lang w:val="en-GB"/>
        </w:rPr>
        <w:t>3, that “</w:t>
      </w:r>
      <w:r w:rsidRPr="00B94E33">
        <w:rPr>
          <w:rFonts w:ascii="Times New Roman" w:hAnsi="Times New Roman"/>
          <w:szCs w:val="24"/>
          <w:lang w:val="en-GB"/>
        </w:rPr>
        <w:t xml:space="preserve">the authorities had put in place a legislative framework allowing them to take measures against persons accused of domestic violence and that that framework was effective in punishing the perpetrator of the crime of which the applicant was victim and preventing the recurrence of violent attacks against her physical integrity” (see </w:t>
      </w:r>
      <w:r w:rsidRPr="00B94E33">
        <w:rPr>
          <w:rFonts w:ascii="Times New Roman" w:hAnsi="Times New Roman"/>
          <w:i/>
          <w:szCs w:val="24"/>
          <w:lang w:val="en-GB"/>
        </w:rPr>
        <w:t>Rumor v. Italy</w:t>
      </w:r>
      <w:r w:rsidRPr="00B94E33">
        <w:rPr>
          <w:rFonts w:ascii="Times New Roman" w:hAnsi="Times New Roman"/>
          <w:szCs w:val="24"/>
          <w:lang w:val="en-GB"/>
        </w:rPr>
        <w:t>, § 76). Although, as the judgment notes, that case may have concerned a different set of facts, the system at issue is the same. Since the impugned failings were not rooted in the discriminatory intent of the authorities but rather in pure passivity, they do not provide grounds for departure from the Article 14 conclusions previously drawn in respect of Italy.</w:t>
      </w:r>
    </w:p>
    <w:p w:rsidR="00713619" w:rsidRPr="00B94E33" w:rsidRDefault="00713619" w:rsidP="00B94E33">
      <w:pPr>
        <w:pStyle w:val="OpiPara"/>
        <w:rPr>
          <w:rFonts w:ascii="Times New Roman" w:hAnsi="Times New Roman"/>
          <w:szCs w:val="24"/>
          <w:lang w:val="en-GB"/>
        </w:rPr>
      </w:pPr>
      <w:r w:rsidRPr="00B94E33">
        <w:rPr>
          <w:rFonts w:ascii="Times New Roman" w:hAnsi="Times New Roman"/>
          <w:szCs w:val="24"/>
          <w:lang w:val="en-GB"/>
        </w:rPr>
        <w:t>22.</w:t>
      </w:r>
      <w:r w:rsidR="00346ED5" w:rsidRPr="00B94E33">
        <w:rPr>
          <w:rFonts w:ascii="Times New Roman" w:hAnsi="Times New Roman"/>
          <w:szCs w:val="24"/>
          <w:lang w:val="en-GB"/>
        </w:rPr>
        <w:t>  </w:t>
      </w:r>
      <w:r w:rsidRPr="00B94E33">
        <w:rPr>
          <w:rFonts w:ascii="Times New Roman" w:hAnsi="Times New Roman"/>
          <w:szCs w:val="24"/>
          <w:lang w:val="en-GB"/>
        </w:rPr>
        <w:t xml:space="preserve">The international materials on which the majority relies in its finding of an Article 14 violation also fail to point to a discriminatory failing in the system. Although the </w:t>
      </w:r>
      <w:r w:rsidRPr="00B94E33">
        <w:rPr>
          <w:rFonts w:ascii="Times New Roman" w:hAnsi="Times New Roman"/>
          <w:i/>
          <w:szCs w:val="24"/>
          <w:lang w:val="en-GB"/>
        </w:rPr>
        <w:t>2010 CEDAW Concluding Observations</w:t>
      </w:r>
      <w:r w:rsidRPr="00B94E33">
        <w:rPr>
          <w:rFonts w:ascii="Times New Roman" w:hAnsi="Times New Roman"/>
          <w:szCs w:val="24"/>
          <w:lang w:val="en-GB"/>
        </w:rPr>
        <w:t xml:space="preserve"> (see paragraph </w:t>
      </w:r>
      <w:r w:rsidRPr="00B94E33">
        <w:rPr>
          <w:lang w:val="en-GB"/>
        </w:rPr>
        <w:t>57 of the judgment</w:t>
      </w:r>
      <w:r w:rsidRPr="00B94E33">
        <w:rPr>
          <w:rFonts w:ascii="Times New Roman" w:hAnsi="Times New Roman"/>
          <w:szCs w:val="24"/>
          <w:lang w:val="en-GB"/>
        </w:rPr>
        <w:t xml:space="preserve">) noted that the increasing rate of femicides may lead one to think that the Italian authorities are not sufficiently protecting women, </w:t>
      </w:r>
      <w:r w:rsidRPr="00B94E33">
        <w:rPr>
          <w:lang w:val="en-GB"/>
        </w:rPr>
        <w:t xml:space="preserve">the UN Special Rapporteur concluded in 2012 that the legal framework in Italy “largely provides for sufficient protection for violence against women” (see paragraph 68 of the report cited by the majority at paragraph </w:t>
      </w:r>
      <w:r w:rsidRPr="00B94E33">
        <w:rPr>
          <w:rFonts w:ascii="Times New Roman" w:hAnsi="Times New Roman"/>
          <w:szCs w:val="24"/>
          <w:lang w:val="en-GB"/>
        </w:rPr>
        <w:t>59 of the judgment).</w:t>
      </w:r>
      <w:r w:rsidRPr="00B94E33">
        <w:rPr>
          <w:lang w:val="en-GB"/>
        </w:rPr>
        <w:t xml:space="preserve"> Where the Court has previously </w:t>
      </w:r>
      <w:r w:rsidRPr="00B94E33">
        <w:rPr>
          <w:lang w:val="en-GB"/>
        </w:rPr>
        <w:lastRenderedPageBreak/>
        <w:t xml:space="preserve">relied on international reports in this sphere, the criticisms therein have undoubtedly been more unequivocal. For instance, in </w:t>
      </w:r>
      <w:r w:rsidRPr="00B94E33">
        <w:rPr>
          <w:i/>
          <w:iCs/>
          <w:lang w:val="en-GB"/>
        </w:rPr>
        <w:t>Mudric v. the</w:t>
      </w:r>
      <w:r w:rsidR="00346ED5" w:rsidRPr="00B94E33">
        <w:rPr>
          <w:i/>
          <w:iCs/>
          <w:lang w:val="en-GB"/>
        </w:rPr>
        <w:t> </w:t>
      </w:r>
      <w:r w:rsidRPr="00B94E33">
        <w:rPr>
          <w:i/>
          <w:iCs/>
          <w:lang w:val="en-GB"/>
        </w:rPr>
        <w:t>Republic of Moldova</w:t>
      </w:r>
      <w:r w:rsidRPr="00B94E33">
        <w:rPr>
          <w:lang w:val="en-GB"/>
        </w:rPr>
        <w:t xml:space="preserve">, the Court was of the view that the findings of the Special Rapporteur supported “the impression that the authorities do not fully appreciate the seriousness and extent of the problem of domestic violence and its discriminatory effect on women” (see </w:t>
      </w:r>
      <w:r w:rsidRPr="00B94E33">
        <w:rPr>
          <w:i/>
          <w:iCs/>
          <w:lang w:val="en-GB"/>
        </w:rPr>
        <w:t>Mudric</w:t>
      </w:r>
      <w:r w:rsidRPr="00B94E33">
        <w:rPr>
          <w:iCs/>
          <w:lang w:val="en-GB"/>
        </w:rPr>
        <w:t>,</w:t>
      </w:r>
      <w:r w:rsidRPr="00B94E33">
        <w:rPr>
          <w:lang w:val="en-GB"/>
        </w:rPr>
        <w:t xml:space="preserve"> § 63).</w:t>
      </w:r>
    </w:p>
    <w:p w:rsidR="00713619" w:rsidRPr="00B94E33" w:rsidRDefault="00713619" w:rsidP="00B94E33">
      <w:pPr>
        <w:pStyle w:val="OpiPara"/>
        <w:rPr>
          <w:lang w:val="en-GB"/>
        </w:rPr>
      </w:pPr>
      <w:r w:rsidRPr="00B94E33">
        <w:rPr>
          <w:rFonts w:ascii="Times New Roman" w:hAnsi="Times New Roman"/>
          <w:szCs w:val="24"/>
          <w:lang w:val="en-GB"/>
        </w:rPr>
        <w:t xml:space="preserve">23. Ultimately, </w:t>
      </w:r>
      <w:r w:rsidRPr="00B94E33">
        <w:rPr>
          <w:lang w:val="en-GB"/>
        </w:rPr>
        <w:t xml:space="preserve">the finding in </w:t>
      </w:r>
      <w:r w:rsidRPr="00B94E33">
        <w:rPr>
          <w:i/>
          <w:iCs/>
          <w:lang w:val="en-GB"/>
        </w:rPr>
        <w:t>Rumor </w:t>
      </w:r>
      <w:r w:rsidRPr="00B94E33">
        <w:rPr>
          <w:lang w:val="en-GB"/>
        </w:rPr>
        <w:t xml:space="preserve">combined with the </w:t>
      </w:r>
      <w:r w:rsidRPr="00B94E33">
        <w:rPr>
          <w:i/>
          <w:iCs/>
          <w:lang w:val="en-GB"/>
        </w:rPr>
        <w:t>Opuz</w:t>
      </w:r>
      <w:r w:rsidRPr="00B94E33">
        <w:rPr>
          <w:lang w:val="en-GB"/>
        </w:rPr>
        <w:t> threshold makes it clear that there is insufficient evidence of institutional discrimination in Italy to ground a finding of an Article 14 violation.</w:t>
      </w:r>
      <w:r w:rsidRPr="00B94E33">
        <w:rPr>
          <w:rFonts w:ascii="Times New Roman" w:hAnsi="Times New Roman"/>
          <w:szCs w:val="24"/>
          <w:lang w:val="en-GB"/>
        </w:rPr>
        <w:t xml:space="preserve"> The relevant framework is still one that is effective, regardless of whether all the measures it provides for were, in the instant case, deployed (see </w:t>
      </w:r>
      <w:r w:rsidRPr="00B94E33">
        <w:rPr>
          <w:rFonts w:ascii="Times New Roman" w:hAnsi="Times New Roman"/>
          <w:i/>
          <w:szCs w:val="24"/>
          <w:lang w:val="en-GB"/>
        </w:rPr>
        <w:t>A. v.</w:t>
      </w:r>
      <w:r w:rsidR="00346ED5" w:rsidRPr="00B94E33">
        <w:rPr>
          <w:rFonts w:ascii="Times New Roman" w:hAnsi="Times New Roman"/>
          <w:i/>
          <w:szCs w:val="24"/>
          <w:lang w:val="en-GB"/>
        </w:rPr>
        <w:t> </w:t>
      </w:r>
      <w:r w:rsidRPr="00B94E33">
        <w:rPr>
          <w:rFonts w:ascii="Times New Roman" w:hAnsi="Times New Roman"/>
          <w:i/>
          <w:szCs w:val="24"/>
          <w:lang w:val="en-GB"/>
        </w:rPr>
        <w:t>Croatia</w:t>
      </w:r>
      <w:r w:rsidRPr="00B94E33">
        <w:rPr>
          <w:rFonts w:ascii="Times New Roman" w:hAnsi="Times New Roman"/>
          <w:szCs w:val="24"/>
          <w:lang w:val="en-GB"/>
        </w:rPr>
        <w:t>, § 101).</w:t>
      </w:r>
    </w:p>
    <w:p w:rsidR="00A411D1" w:rsidRPr="00B94E33" w:rsidRDefault="00A411D1" w:rsidP="00B94E33">
      <w:pPr>
        <w:pStyle w:val="OpiPara"/>
        <w:rPr>
          <w:lang w:val="en-GB"/>
        </w:rPr>
      </w:pPr>
    </w:p>
    <w:sectPr w:rsidR="00A411D1" w:rsidRPr="00B94E33" w:rsidSect="00713619">
      <w:headerReference w:type="even" r:id="rId44"/>
      <w:headerReference w:type="default" r:id="rId45"/>
      <w:footnotePr>
        <w:numRestart w:val="eachSect"/>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89C" w:rsidRPr="00BD0653" w:rsidRDefault="00D5789C" w:rsidP="00E77CB3">
      <w:pPr>
        <w:rPr>
          <w:lang w:val="fr-FR"/>
        </w:rPr>
      </w:pPr>
      <w:r w:rsidRPr="00BD0653">
        <w:rPr>
          <w:lang w:val="fr-FR"/>
        </w:rPr>
        <w:separator/>
      </w:r>
    </w:p>
  </w:endnote>
  <w:endnote w:type="continuationSeparator" w:id="0">
    <w:p w:rsidR="00D5789C" w:rsidRPr="00BD0653" w:rsidRDefault="00D5789C" w:rsidP="00E77CB3">
      <w:pPr>
        <w:rPr>
          <w:lang w:val="fr-FR"/>
        </w:rPr>
      </w:pPr>
      <w:r w:rsidRPr="00BD0653">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imes New (W1)">
    <w:altName w:val="Times New Roman"/>
    <w:charset w:val="00"/>
    <w:family w:val="roman"/>
    <w:pitch w:val="variable"/>
    <w:sig w:usb0="20007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579" w:rsidRPr="00150BFA" w:rsidRDefault="00D00579" w:rsidP="008743BB">
    <w:pPr>
      <w:jc w:val="center"/>
    </w:pPr>
    <w:r>
      <w:rPr>
        <w:noProof/>
        <w:lang w:val="it-IT" w:eastAsia="it-IT"/>
      </w:rPr>
      <w:drawing>
        <wp:inline distT="0" distB="0" distL="0" distR="0" wp14:anchorId="6C280D84" wp14:editId="579B765D">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D00579" w:rsidRDefault="00D0057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89C" w:rsidRPr="00BD0653" w:rsidRDefault="00D5789C" w:rsidP="00E77CB3">
      <w:pPr>
        <w:rPr>
          <w:lang w:val="fr-FR"/>
        </w:rPr>
      </w:pPr>
      <w:r w:rsidRPr="00BD0653">
        <w:rPr>
          <w:lang w:val="fr-FR"/>
        </w:rPr>
        <w:separator/>
      </w:r>
    </w:p>
  </w:footnote>
  <w:footnote w:type="continuationSeparator" w:id="0">
    <w:p w:rsidR="00D5789C" w:rsidRPr="00BD0653" w:rsidRDefault="00D5789C" w:rsidP="00E77CB3">
      <w:pPr>
        <w:rPr>
          <w:lang w:val="fr-FR"/>
        </w:rPr>
      </w:pPr>
      <w:r w:rsidRPr="00BD0653">
        <w:rPr>
          <w:lang w:val="fr-FR"/>
        </w:rPr>
        <w:continuationSeparator/>
      </w:r>
    </w:p>
  </w:footnote>
  <w:footnote w:id="1">
    <w:p w:rsidR="00D00579" w:rsidRPr="009C26CF" w:rsidRDefault="00D00579" w:rsidP="00713619">
      <w:pPr>
        <w:pStyle w:val="Testonotaapidipagina"/>
        <w:ind w:left="567" w:right="522"/>
        <w:rPr>
          <w:rFonts w:ascii="Times New Roman" w:hAnsi="Times New Roman" w:cs="Times New Roman"/>
          <w:lang w:val="en-GB"/>
        </w:rPr>
      </w:pPr>
      <w:r w:rsidRPr="009C26CF">
        <w:rPr>
          <w:rStyle w:val="Rimandonotaapidipagina"/>
          <w:rFonts w:ascii="Times New Roman" w:hAnsi="Times New Roman" w:cs="Times New Roman"/>
          <w:lang w:val="en-GB"/>
        </w:rPr>
        <w:footnoteRef/>
      </w:r>
      <w:r w:rsidRPr="009C26CF">
        <w:rPr>
          <w:rFonts w:ascii="Times New Roman" w:hAnsi="Times New Roman" w:cs="Times New Roman"/>
          <w:lang w:val="en-GB"/>
        </w:rPr>
        <w:t xml:space="preserve"> </w:t>
      </w:r>
      <w:r w:rsidRPr="009C26CF">
        <w:rPr>
          <w:rFonts w:ascii="Times New Roman" w:hAnsi="Times New Roman" w:cs="Times New Roman"/>
          <w:bCs/>
          <w:lang w:val="en-GB"/>
        </w:rPr>
        <w:t>Council of Europe Convention on preventing and combating violence against women and domestic violence.</w:t>
      </w:r>
    </w:p>
  </w:footnote>
  <w:footnote w:id="2">
    <w:p w:rsidR="00D00579" w:rsidRPr="009C26CF" w:rsidRDefault="00D00579" w:rsidP="00713619">
      <w:pPr>
        <w:pStyle w:val="Testonotaapidipagina"/>
        <w:ind w:left="567" w:right="522"/>
        <w:rPr>
          <w:rFonts w:ascii="Times New Roman" w:hAnsi="Times New Roman" w:cs="Times New Roman"/>
          <w:bCs/>
          <w:lang w:val="en-GB"/>
        </w:rPr>
      </w:pPr>
      <w:r w:rsidRPr="009C26CF">
        <w:rPr>
          <w:rStyle w:val="Rimandonotaapidipagina"/>
          <w:rFonts w:ascii="Times New Roman" w:hAnsi="Times New Roman" w:cs="Times New Roman"/>
          <w:lang w:val="en-GB"/>
        </w:rPr>
        <w:footnoteRef/>
      </w:r>
      <w:r w:rsidRPr="009C26CF">
        <w:rPr>
          <w:rFonts w:ascii="Times New Roman" w:hAnsi="Times New Roman" w:cs="Times New Roman"/>
          <w:lang w:val="en-GB"/>
        </w:rPr>
        <w:t xml:space="preserve"> Explanatory Report </w:t>
      </w:r>
      <w:r w:rsidRPr="009C26CF">
        <w:rPr>
          <w:rFonts w:ascii="Times New Roman" w:hAnsi="Times New Roman" w:cs="Times New Roman"/>
          <w:bCs/>
          <w:lang w:val="en-GB"/>
        </w:rPr>
        <w:t>to the Council of Europe Convention on preventing and combating violence against women and domestic violence</w:t>
      </w:r>
      <w:r w:rsidRPr="009C26CF">
        <w:rPr>
          <w:rFonts w:ascii="Times New Roman" w:hAnsi="Times New Roman" w:cs="Times New Roman"/>
          <w:lang w:val="en-GB"/>
        </w:rPr>
        <w:t>, para</w:t>
      </w:r>
      <w:r>
        <w:rPr>
          <w:rFonts w:ascii="Times New Roman" w:hAnsi="Times New Roman" w:cs="Times New Roman"/>
          <w:lang w:val="en-GB"/>
        </w:rPr>
        <w:t>.</w:t>
      </w:r>
      <w:r w:rsidRPr="009C26CF">
        <w:rPr>
          <w:rFonts w:ascii="Times New Roman" w:hAnsi="Times New Roman" w:cs="Times New Roman"/>
          <w:lang w:val="en-GB"/>
        </w:rPr>
        <w:t xml:space="preserve"> 265.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579" w:rsidRPr="008743BB" w:rsidRDefault="00D00579" w:rsidP="008743BB">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579" w:rsidRPr="00A45145" w:rsidRDefault="00D00579" w:rsidP="008743BB">
    <w:pPr>
      <w:jc w:val="center"/>
    </w:pPr>
    <w:r>
      <w:rPr>
        <w:noProof/>
        <w:lang w:val="it-IT" w:eastAsia="it-IT"/>
      </w:rPr>
      <w:drawing>
        <wp:inline distT="0" distB="0" distL="0" distR="0" wp14:anchorId="4FB5709B" wp14:editId="7EADC9EA">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D00579" w:rsidRDefault="00D0057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579" w:rsidRPr="00713619" w:rsidRDefault="00D00579" w:rsidP="00C611D8">
    <w:pPr>
      <w:pStyle w:val="ECHRHeader"/>
      <w:rPr>
        <w:lang w:val="fr-FR"/>
      </w:rPr>
    </w:pPr>
    <w:r>
      <w:rPr>
        <w:rStyle w:val="Numeropagina"/>
      </w:rPr>
      <w:fldChar w:fldCharType="begin"/>
    </w:r>
    <w:r w:rsidRPr="00713619">
      <w:rPr>
        <w:rStyle w:val="Numeropagina"/>
        <w:lang w:val="fr-FR"/>
      </w:rPr>
      <w:instrText xml:space="preserve"> PAGE </w:instrText>
    </w:r>
    <w:r>
      <w:rPr>
        <w:rStyle w:val="Numeropagina"/>
      </w:rPr>
      <w:fldChar w:fldCharType="separate"/>
    </w:r>
    <w:r w:rsidR="00B94CCA">
      <w:rPr>
        <w:rStyle w:val="Numeropagina"/>
        <w:noProof/>
        <w:lang w:val="fr-FR"/>
      </w:rPr>
      <w:t>34</w:t>
    </w:r>
    <w:r>
      <w:rPr>
        <w:rStyle w:val="Numeropagina"/>
      </w:rPr>
      <w:fldChar w:fldCharType="end"/>
    </w:r>
    <w:r w:rsidRPr="00713619">
      <w:rPr>
        <w:rStyle w:val="Numeropagina"/>
        <w:lang w:val="fr-FR"/>
      </w:rPr>
      <w:tab/>
    </w:r>
    <w:r w:rsidRPr="00713619">
      <w:rPr>
        <w:noProof/>
        <w:lang w:val="fr-FR"/>
      </w:rPr>
      <w:t>ARRÊT</w:t>
    </w:r>
    <w:r>
      <w:rPr>
        <w:lang w:val="fr-FR"/>
      </w:rPr>
      <w:t xml:space="preserve"> TALPIS c. ITALIE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579" w:rsidRPr="00031347" w:rsidRDefault="00D00579" w:rsidP="00C63990">
    <w:pPr>
      <w:pStyle w:val="ECHRHeader"/>
      <w:rPr>
        <w:lang w:val="en-GB"/>
      </w:rPr>
    </w:pPr>
    <w:r w:rsidRPr="00BD0653">
      <w:rPr>
        <w:lang w:val="fr-FR"/>
      </w:rPr>
      <w:tab/>
    </w:r>
    <w:r>
      <w:rPr>
        <w:noProof/>
      </w:rPr>
      <w:t>ARRÊT</w:t>
    </w:r>
    <w:r w:rsidRPr="006C2EDA">
      <w:t xml:space="preserve"> </w:t>
    </w:r>
    <w:r>
      <w:t>TALPIS c. ITALIE</w:t>
    </w:r>
    <w:r w:rsidRPr="006C2EDA">
      <w:tab/>
    </w:r>
    <w:r>
      <w:rPr>
        <w:rStyle w:val="Numeropagina"/>
        <w:lang w:val="en-GB"/>
      </w:rPr>
      <w:fldChar w:fldCharType="begin"/>
    </w:r>
    <w:r>
      <w:rPr>
        <w:rStyle w:val="Numeropagina"/>
        <w:lang w:val="en-GB"/>
      </w:rPr>
      <w:instrText xml:space="preserve"> PAGE </w:instrText>
    </w:r>
    <w:r>
      <w:rPr>
        <w:rStyle w:val="Numeropagina"/>
        <w:lang w:val="en-GB"/>
      </w:rPr>
      <w:fldChar w:fldCharType="separate"/>
    </w:r>
    <w:r w:rsidR="00B94CCA">
      <w:rPr>
        <w:rStyle w:val="Numeropagina"/>
        <w:noProof/>
        <w:lang w:val="en-GB"/>
      </w:rPr>
      <w:t>35</w:t>
    </w:r>
    <w:r>
      <w:rPr>
        <w:rStyle w:val="Numeropagina"/>
        <w:lang w:val="en-GB"/>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579" w:rsidRPr="00713619" w:rsidRDefault="00D00579" w:rsidP="00C611D8">
    <w:pPr>
      <w:pStyle w:val="ECHRHeader"/>
      <w:rPr>
        <w:lang w:val="fr-FR"/>
      </w:rPr>
    </w:pPr>
    <w:r>
      <w:rPr>
        <w:rStyle w:val="Numeropagina"/>
      </w:rPr>
      <w:fldChar w:fldCharType="begin"/>
    </w:r>
    <w:r w:rsidRPr="00713619">
      <w:rPr>
        <w:rStyle w:val="Numeropagina"/>
        <w:lang w:val="fr-FR"/>
      </w:rPr>
      <w:instrText xml:space="preserve"> PAGE </w:instrText>
    </w:r>
    <w:r>
      <w:rPr>
        <w:rStyle w:val="Numeropagina"/>
      </w:rPr>
      <w:fldChar w:fldCharType="separate"/>
    </w:r>
    <w:r w:rsidR="00B94CCA">
      <w:rPr>
        <w:rStyle w:val="Numeropagina"/>
        <w:noProof/>
        <w:lang w:val="fr-FR"/>
      </w:rPr>
      <w:t>52</w:t>
    </w:r>
    <w:r>
      <w:rPr>
        <w:rStyle w:val="Numeropagina"/>
      </w:rPr>
      <w:fldChar w:fldCharType="end"/>
    </w:r>
    <w:r w:rsidRPr="00713619">
      <w:rPr>
        <w:rStyle w:val="Numeropagina"/>
        <w:lang w:val="fr-FR"/>
      </w:rPr>
      <w:tab/>
    </w:r>
    <w:r w:rsidRPr="00713619">
      <w:rPr>
        <w:noProof/>
        <w:lang w:val="fr-FR"/>
      </w:rPr>
      <w:t>ARRÊT</w:t>
    </w:r>
    <w:r w:rsidRPr="00713619">
      <w:rPr>
        <w:lang w:val="fr-FR"/>
      </w:rPr>
      <w:t xml:space="preserve"> TALPIS c. ITALIE – OPINIONS S</w:t>
    </w:r>
    <w:r>
      <w:rPr>
        <w:rFonts w:cstheme="minorHAnsi"/>
        <w:lang w:val="fr-FR"/>
      </w:rPr>
      <w:t>É</w:t>
    </w:r>
    <w:r w:rsidRPr="00713619">
      <w:rPr>
        <w:lang w:val="fr-FR"/>
      </w:rPr>
      <w:t>PAR</w:t>
    </w:r>
    <w:r>
      <w:rPr>
        <w:rFonts w:cstheme="minorHAnsi"/>
        <w:lang w:val="fr-FR"/>
      </w:rPr>
      <w:t>É</w:t>
    </w:r>
    <w:r w:rsidRPr="00713619">
      <w:rPr>
        <w:lang w:val="fr-FR"/>
      </w:rPr>
      <w:t>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579" w:rsidRPr="00713619" w:rsidRDefault="00D00579" w:rsidP="00C63990">
    <w:pPr>
      <w:pStyle w:val="ECHRHeader"/>
      <w:rPr>
        <w:lang w:val="fr-FR"/>
      </w:rPr>
    </w:pPr>
    <w:r w:rsidRPr="00BD0653">
      <w:rPr>
        <w:lang w:val="fr-FR"/>
      </w:rPr>
      <w:tab/>
    </w:r>
    <w:r w:rsidRPr="00713619">
      <w:rPr>
        <w:noProof/>
        <w:lang w:val="fr-FR"/>
      </w:rPr>
      <w:t>ARRÊT</w:t>
    </w:r>
    <w:r w:rsidRPr="00713619">
      <w:rPr>
        <w:lang w:val="fr-FR"/>
      </w:rPr>
      <w:t xml:space="preserve"> TALPIS c. ITALIE – O</w:t>
    </w:r>
    <w:r>
      <w:rPr>
        <w:lang w:val="fr-FR"/>
      </w:rPr>
      <w:t>P</w:t>
    </w:r>
    <w:r w:rsidRPr="00713619">
      <w:rPr>
        <w:lang w:val="fr-FR"/>
      </w:rPr>
      <w:t>INIONS S</w:t>
    </w:r>
    <w:r>
      <w:rPr>
        <w:rFonts w:cstheme="minorHAnsi"/>
        <w:lang w:val="fr-FR"/>
      </w:rPr>
      <w:t>É</w:t>
    </w:r>
    <w:r w:rsidRPr="00713619">
      <w:rPr>
        <w:lang w:val="fr-FR"/>
      </w:rPr>
      <w:t>PAR</w:t>
    </w:r>
    <w:r>
      <w:rPr>
        <w:rFonts w:cstheme="minorHAnsi"/>
        <w:lang w:val="fr-FR"/>
      </w:rPr>
      <w:t>É</w:t>
    </w:r>
    <w:r w:rsidRPr="00713619">
      <w:rPr>
        <w:lang w:val="fr-FR"/>
      </w:rPr>
      <w:t>ES</w:t>
    </w:r>
    <w:r w:rsidRPr="00713619">
      <w:rPr>
        <w:lang w:val="fr-FR"/>
      </w:rPr>
      <w:tab/>
    </w:r>
    <w:r>
      <w:rPr>
        <w:rStyle w:val="Numeropagina"/>
        <w:lang w:val="en-GB"/>
      </w:rPr>
      <w:fldChar w:fldCharType="begin"/>
    </w:r>
    <w:r w:rsidRPr="00713619">
      <w:rPr>
        <w:rStyle w:val="Numeropagina"/>
        <w:lang w:val="fr-FR"/>
      </w:rPr>
      <w:instrText xml:space="preserve"> PAGE </w:instrText>
    </w:r>
    <w:r>
      <w:rPr>
        <w:rStyle w:val="Numeropagina"/>
        <w:lang w:val="en-GB"/>
      </w:rPr>
      <w:fldChar w:fldCharType="separate"/>
    </w:r>
    <w:r w:rsidR="00B94CCA">
      <w:rPr>
        <w:rStyle w:val="Numeropagina"/>
        <w:noProof/>
        <w:lang w:val="fr-FR"/>
      </w:rPr>
      <w:t>51</w:t>
    </w:r>
    <w:r>
      <w:rPr>
        <w:rStyle w:val="Numeropagina"/>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AA2222"/>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AC189B28"/>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90C4301E"/>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7268F26"/>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FA0A71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FB382924"/>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268AD30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20501D42"/>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CDE43E0C"/>
    <w:lvl w:ilvl="0">
      <w:start w:val="1"/>
      <w:numFmt w:val="decimal"/>
      <w:pStyle w:val="Numeroelenco"/>
      <w:lvlText w:val="%1."/>
      <w:lvlJc w:val="left"/>
      <w:pPr>
        <w:tabs>
          <w:tab w:val="num" w:pos="360"/>
        </w:tabs>
        <w:ind w:left="360" w:hanging="360"/>
      </w:pPr>
    </w:lvl>
  </w:abstractNum>
  <w:abstractNum w:abstractNumId="9">
    <w:nsid w:val="FFFFFF89"/>
    <w:multiLevelType w:val="singleLevel"/>
    <w:tmpl w:val="03AEA0B8"/>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38C4FE2"/>
    <w:multiLevelType w:val="hybridMultilevel"/>
    <w:tmpl w:val="956C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B1D7FC9"/>
    <w:multiLevelType w:val="multilevel"/>
    <w:tmpl w:val="9DF650FA"/>
    <w:lvl w:ilvl="0">
      <w:start w:val="1"/>
      <w:numFmt w:val="decimal"/>
      <w:lvlText w:val="%1."/>
      <w:lvlJc w:val="left"/>
      <w:pPr>
        <w:ind w:left="0" w:firstLine="0"/>
      </w:pPr>
      <w:rPr>
        <w:rFonts w:hint="default"/>
      </w:rPr>
    </w:lvl>
    <w:lvl w:ilvl="1">
      <w:start w:val="1"/>
      <w:numFmt w:val="lowerLetter"/>
      <w:lvlText w:val="%2)"/>
      <w:lvlJc w:val="left"/>
      <w:pPr>
        <w:ind w:left="1361" w:hanging="510"/>
      </w:pPr>
      <w:rPr>
        <w:rFonts w:hint="default"/>
      </w:rPr>
    </w:lvl>
    <w:lvl w:ilvl="2">
      <w:start w:val="1"/>
      <w:numFmt w:val="lowerRoman"/>
      <w:lvlText w:val="(%3)"/>
      <w:lvlJc w:val="left"/>
      <w:pPr>
        <w:ind w:left="2155" w:hanging="68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14">
    <w:nsid w:val="4989571C"/>
    <w:multiLevelType w:val="multilevel"/>
    <w:tmpl w:val="F842BC8C"/>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nsid w:val="65D7306C"/>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69313B93"/>
    <w:multiLevelType w:val="multilevel"/>
    <w:tmpl w:val="9DF650FA"/>
    <w:lvl w:ilvl="0">
      <w:start w:val="1"/>
      <w:numFmt w:val="decimal"/>
      <w:lvlText w:val="%1."/>
      <w:lvlJc w:val="left"/>
      <w:pPr>
        <w:ind w:left="0" w:firstLine="0"/>
      </w:pPr>
      <w:rPr>
        <w:rFonts w:hint="default"/>
      </w:rPr>
    </w:lvl>
    <w:lvl w:ilvl="1">
      <w:start w:val="1"/>
      <w:numFmt w:val="lowerLetter"/>
      <w:lvlText w:val="%2)"/>
      <w:lvlJc w:val="left"/>
      <w:pPr>
        <w:ind w:left="1361" w:hanging="510"/>
      </w:pPr>
      <w:rPr>
        <w:rFonts w:hint="default"/>
      </w:rPr>
    </w:lvl>
    <w:lvl w:ilvl="2">
      <w:start w:val="1"/>
      <w:numFmt w:val="lowerRoman"/>
      <w:lvlText w:val="(%3)"/>
      <w:lvlJc w:val="left"/>
      <w:pPr>
        <w:ind w:left="2155" w:hanging="68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18">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2"/>
  </w:num>
  <w:num w:numId="3">
    <w:abstractNumId w:val="11"/>
  </w:num>
  <w:num w:numId="4">
    <w:abstractNumId w:val="16"/>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4"/>
  </w:num>
  <w:num w:numId="16">
    <w:abstractNumId w:val="18"/>
  </w:num>
  <w:num w:numId="17">
    <w:abstractNumId w:val="10"/>
  </w:num>
  <w:num w:numId="18">
    <w:abstractNumId w:val="18"/>
  </w:num>
  <w:num w:numId="19">
    <w:abstractNumId w:val="18"/>
  </w:num>
  <w:num w:numId="20">
    <w:abstractNumId w:val="18"/>
  </w:num>
  <w:num w:numId="21">
    <w:abstractNumId w:val="18"/>
  </w:num>
  <w:num w:numId="22">
    <w:abstractNumId w:val="13"/>
  </w:num>
  <w:num w:numId="23">
    <w:abstractNumId w:val="17"/>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1"/>
    <w:docVar w:name="DocVarPREMATURE" w:val="0"/>
    <w:docVar w:name="EMM" w:val="0"/>
    <w:docVar w:name="ETRANSMISSION" w:val="PAR VOIE ÉLECTRONIQUE UNIQUEMENT"/>
    <w:docVar w:name="L4_1Annex" w:val="0"/>
    <w:docVar w:name="L4_1Anonymity" w:val="0"/>
    <w:docVar w:name="L4_1AppNatList" w:val="roumain"/>
    <w:docVar w:name="NBEMMDOC" w:val="0"/>
    <w:docVar w:name="SignForeName" w:val="0"/>
  </w:docVars>
  <w:rsids>
    <w:rsidRoot w:val="00DA02C2"/>
    <w:rsid w:val="000041F8"/>
    <w:rsid w:val="000042A8"/>
    <w:rsid w:val="00004308"/>
    <w:rsid w:val="000054F8"/>
    <w:rsid w:val="0000553E"/>
    <w:rsid w:val="00005BF0"/>
    <w:rsid w:val="00007154"/>
    <w:rsid w:val="000103AE"/>
    <w:rsid w:val="00011D69"/>
    <w:rsid w:val="00012AD3"/>
    <w:rsid w:val="0001378A"/>
    <w:rsid w:val="00015C2D"/>
    <w:rsid w:val="00015F00"/>
    <w:rsid w:val="00017C6F"/>
    <w:rsid w:val="00022C1D"/>
    <w:rsid w:val="0002492B"/>
    <w:rsid w:val="000310CA"/>
    <w:rsid w:val="00031347"/>
    <w:rsid w:val="00034987"/>
    <w:rsid w:val="00035887"/>
    <w:rsid w:val="00035D4F"/>
    <w:rsid w:val="00036061"/>
    <w:rsid w:val="000419C4"/>
    <w:rsid w:val="00046669"/>
    <w:rsid w:val="000469EB"/>
    <w:rsid w:val="000504E7"/>
    <w:rsid w:val="00052090"/>
    <w:rsid w:val="00056469"/>
    <w:rsid w:val="000602DF"/>
    <w:rsid w:val="00060A30"/>
    <w:rsid w:val="00061B05"/>
    <w:rsid w:val="000632D5"/>
    <w:rsid w:val="000644EE"/>
    <w:rsid w:val="00066A71"/>
    <w:rsid w:val="00075D84"/>
    <w:rsid w:val="00076EC7"/>
    <w:rsid w:val="000852DA"/>
    <w:rsid w:val="000925AD"/>
    <w:rsid w:val="00093B2B"/>
    <w:rsid w:val="00096FF8"/>
    <w:rsid w:val="000976E1"/>
    <w:rsid w:val="000A24EB"/>
    <w:rsid w:val="000A4460"/>
    <w:rsid w:val="000A658C"/>
    <w:rsid w:val="000B1146"/>
    <w:rsid w:val="000B2DD5"/>
    <w:rsid w:val="000B4F35"/>
    <w:rsid w:val="000B6440"/>
    <w:rsid w:val="000B6923"/>
    <w:rsid w:val="000C2003"/>
    <w:rsid w:val="000C2154"/>
    <w:rsid w:val="000C40D9"/>
    <w:rsid w:val="000C5A6B"/>
    <w:rsid w:val="000C5F3C"/>
    <w:rsid w:val="000C6DCC"/>
    <w:rsid w:val="000D1560"/>
    <w:rsid w:val="000D23E3"/>
    <w:rsid w:val="000D47AA"/>
    <w:rsid w:val="000D5A91"/>
    <w:rsid w:val="000D721F"/>
    <w:rsid w:val="000E069B"/>
    <w:rsid w:val="000E0E82"/>
    <w:rsid w:val="000E1D57"/>
    <w:rsid w:val="000E1D8E"/>
    <w:rsid w:val="000E1DC5"/>
    <w:rsid w:val="000E223F"/>
    <w:rsid w:val="000E2D59"/>
    <w:rsid w:val="000E7D45"/>
    <w:rsid w:val="000F00EF"/>
    <w:rsid w:val="000F4865"/>
    <w:rsid w:val="000F6426"/>
    <w:rsid w:val="000F6C46"/>
    <w:rsid w:val="000F7851"/>
    <w:rsid w:val="00104E23"/>
    <w:rsid w:val="00105C3F"/>
    <w:rsid w:val="00107E42"/>
    <w:rsid w:val="00111B0C"/>
    <w:rsid w:val="00112B5A"/>
    <w:rsid w:val="00113313"/>
    <w:rsid w:val="00113BC5"/>
    <w:rsid w:val="001173C2"/>
    <w:rsid w:val="00120D6C"/>
    <w:rsid w:val="001257EC"/>
    <w:rsid w:val="001258F2"/>
    <w:rsid w:val="00126BE4"/>
    <w:rsid w:val="00131647"/>
    <w:rsid w:val="00133D33"/>
    <w:rsid w:val="00134D64"/>
    <w:rsid w:val="00135A30"/>
    <w:rsid w:val="0013612C"/>
    <w:rsid w:val="00136A16"/>
    <w:rsid w:val="001372C0"/>
    <w:rsid w:val="00137E7F"/>
    <w:rsid w:val="00137FF6"/>
    <w:rsid w:val="00141650"/>
    <w:rsid w:val="001418EE"/>
    <w:rsid w:val="00144DB1"/>
    <w:rsid w:val="00147458"/>
    <w:rsid w:val="001500F4"/>
    <w:rsid w:val="001516A3"/>
    <w:rsid w:val="00151E45"/>
    <w:rsid w:val="0016174F"/>
    <w:rsid w:val="001619D7"/>
    <w:rsid w:val="00162A12"/>
    <w:rsid w:val="0016358B"/>
    <w:rsid w:val="00166530"/>
    <w:rsid w:val="001738E7"/>
    <w:rsid w:val="00174532"/>
    <w:rsid w:val="00174966"/>
    <w:rsid w:val="00175DF2"/>
    <w:rsid w:val="00177FDA"/>
    <w:rsid w:val="001832BD"/>
    <w:rsid w:val="001910E1"/>
    <w:rsid w:val="001943B5"/>
    <w:rsid w:val="00195134"/>
    <w:rsid w:val="001A145B"/>
    <w:rsid w:val="001A674C"/>
    <w:rsid w:val="001B013E"/>
    <w:rsid w:val="001B1C13"/>
    <w:rsid w:val="001B1D8F"/>
    <w:rsid w:val="001B3B24"/>
    <w:rsid w:val="001B4137"/>
    <w:rsid w:val="001B6359"/>
    <w:rsid w:val="001C0F98"/>
    <w:rsid w:val="001C1F91"/>
    <w:rsid w:val="001C2A42"/>
    <w:rsid w:val="001C41FA"/>
    <w:rsid w:val="001C73FE"/>
    <w:rsid w:val="001D63ED"/>
    <w:rsid w:val="001D6A06"/>
    <w:rsid w:val="001D7348"/>
    <w:rsid w:val="001E035B"/>
    <w:rsid w:val="001E0961"/>
    <w:rsid w:val="001E34C9"/>
    <w:rsid w:val="001E3BAC"/>
    <w:rsid w:val="001E3EAE"/>
    <w:rsid w:val="001E6F32"/>
    <w:rsid w:val="001E7D19"/>
    <w:rsid w:val="001F016F"/>
    <w:rsid w:val="001F1FCE"/>
    <w:rsid w:val="001F2145"/>
    <w:rsid w:val="001F4E43"/>
    <w:rsid w:val="001F521B"/>
    <w:rsid w:val="001F6262"/>
    <w:rsid w:val="001F67B0"/>
    <w:rsid w:val="001F6F4C"/>
    <w:rsid w:val="001F7B3D"/>
    <w:rsid w:val="002004FA"/>
    <w:rsid w:val="00205F9F"/>
    <w:rsid w:val="00210338"/>
    <w:rsid w:val="002115FC"/>
    <w:rsid w:val="00213AD8"/>
    <w:rsid w:val="002140FB"/>
    <w:rsid w:val="0021423C"/>
    <w:rsid w:val="002162B3"/>
    <w:rsid w:val="0021636F"/>
    <w:rsid w:val="00230816"/>
    <w:rsid w:val="00230D00"/>
    <w:rsid w:val="00231DF7"/>
    <w:rsid w:val="00231ED9"/>
    <w:rsid w:val="00231FD1"/>
    <w:rsid w:val="002339E0"/>
    <w:rsid w:val="00233CF8"/>
    <w:rsid w:val="0023575D"/>
    <w:rsid w:val="00235E61"/>
    <w:rsid w:val="00237148"/>
    <w:rsid w:val="00241F5B"/>
    <w:rsid w:val="0024222D"/>
    <w:rsid w:val="0024425D"/>
    <w:rsid w:val="00244B0E"/>
    <w:rsid w:val="00244F6C"/>
    <w:rsid w:val="002532C5"/>
    <w:rsid w:val="0025512E"/>
    <w:rsid w:val="002604DF"/>
    <w:rsid w:val="00260C03"/>
    <w:rsid w:val="002624F5"/>
    <w:rsid w:val="00264F74"/>
    <w:rsid w:val="0026540E"/>
    <w:rsid w:val="00274CDE"/>
    <w:rsid w:val="00275123"/>
    <w:rsid w:val="002756CC"/>
    <w:rsid w:val="0027728B"/>
    <w:rsid w:val="00277624"/>
    <w:rsid w:val="00280F05"/>
    <w:rsid w:val="00280FAE"/>
    <w:rsid w:val="002818C7"/>
    <w:rsid w:val="00281E87"/>
    <w:rsid w:val="0028201E"/>
    <w:rsid w:val="00282240"/>
    <w:rsid w:val="0028430A"/>
    <w:rsid w:val="00287440"/>
    <w:rsid w:val="00291379"/>
    <w:rsid w:val="00291991"/>
    <w:rsid w:val="00292DDB"/>
    <w:rsid w:val="002948AD"/>
    <w:rsid w:val="00294D4E"/>
    <w:rsid w:val="002A01CC"/>
    <w:rsid w:val="002A3223"/>
    <w:rsid w:val="002A3E50"/>
    <w:rsid w:val="002A3F1B"/>
    <w:rsid w:val="002A61B1"/>
    <w:rsid w:val="002A663C"/>
    <w:rsid w:val="002A6B61"/>
    <w:rsid w:val="002A74BF"/>
    <w:rsid w:val="002B1F7F"/>
    <w:rsid w:val="002B2E9D"/>
    <w:rsid w:val="002B379C"/>
    <w:rsid w:val="002B39AA"/>
    <w:rsid w:val="002B444B"/>
    <w:rsid w:val="002B527C"/>
    <w:rsid w:val="002B5887"/>
    <w:rsid w:val="002B5A18"/>
    <w:rsid w:val="002B78CE"/>
    <w:rsid w:val="002C0E27"/>
    <w:rsid w:val="002C3040"/>
    <w:rsid w:val="002C6285"/>
    <w:rsid w:val="002D022D"/>
    <w:rsid w:val="002D23B6"/>
    <w:rsid w:val="002D23F5"/>
    <w:rsid w:val="002D24BB"/>
    <w:rsid w:val="002D31C4"/>
    <w:rsid w:val="002E02CB"/>
    <w:rsid w:val="002E129B"/>
    <w:rsid w:val="002E19CC"/>
    <w:rsid w:val="002E6D48"/>
    <w:rsid w:val="002F2AF7"/>
    <w:rsid w:val="002F3EA4"/>
    <w:rsid w:val="002F5ECE"/>
    <w:rsid w:val="002F6B0E"/>
    <w:rsid w:val="002F7E1C"/>
    <w:rsid w:val="00300EDE"/>
    <w:rsid w:val="00301A75"/>
    <w:rsid w:val="00302F70"/>
    <w:rsid w:val="0030336F"/>
    <w:rsid w:val="0030375E"/>
    <w:rsid w:val="00307A49"/>
    <w:rsid w:val="0031136E"/>
    <w:rsid w:val="00311886"/>
    <w:rsid w:val="00312742"/>
    <w:rsid w:val="00312A30"/>
    <w:rsid w:val="003170FB"/>
    <w:rsid w:val="00320F72"/>
    <w:rsid w:val="003219E3"/>
    <w:rsid w:val="00321A25"/>
    <w:rsid w:val="00323E45"/>
    <w:rsid w:val="0032463E"/>
    <w:rsid w:val="0032481C"/>
    <w:rsid w:val="0032596B"/>
    <w:rsid w:val="00326224"/>
    <w:rsid w:val="00326A79"/>
    <w:rsid w:val="003324AC"/>
    <w:rsid w:val="003339A9"/>
    <w:rsid w:val="003354EE"/>
    <w:rsid w:val="00337EE4"/>
    <w:rsid w:val="00340FFD"/>
    <w:rsid w:val="00344175"/>
    <w:rsid w:val="003460FA"/>
    <w:rsid w:val="00346ED5"/>
    <w:rsid w:val="003506B1"/>
    <w:rsid w:val="00351129"/>
    <w:rsid w:val="003526BF"/>
    <w:rsid w:val="00354F8C"/>
    <w:rsid w:val="00356AC7"/>
    <w:rsid w:val="003571E8"/>
    <w:rsid w:val="003609FA"/>
    <w:rsid w:val="00363865"/>
    <w:rsid w:val="00364F0D"/>
    <w:rsid w:val="00370918"/>
    <w:rsid w:val="003710C8"/>
    <w:rsid w:val="00371987"/>
    <w:rsid w:val="00373811"/>
    <w:rsid w:val="00374491"/>
    <w:rsid w:val="003750BE"/>
    <w:rsid w:val="00375782"/>
    <w:rsid w:val="00377CA6"/>
    <w:rsid w:val="00387B9D"/>
    <w:rsid w:val="0039364F"/>
    <w:rsid w:val="00395FA4"/>
    <w:rsid w:val="00396402"/>
    <w:rsid w:val="00396686"/>
    <w:rsid w:val="003973DE"/>
    <w:rsid w:val="0039778E"/>
    <w:rsid w:val="003A0375"/>
    <w:rsid w:val="003A2083"/>
    <w:rsid w:val="003B2814"/>
    <w:rsid w:val="003B486D"/>
    <w:rsid w:val="003B4941"/>
    <w:rsid w:val="003C0293"/>
    <w:rsid w:val="003C1AE0"/>
    <w:rsid w:val="003C5714"/>
    <w:rsid w:val="003C5A00"/>
    <w:rsid w:val="003C6B9F"/>
    <w:rsid w:val="003C6E2A"/>
    <w:rsid w:val="003C75EE"/>
    <w:rsid w:val="003C76AB"/>
    <w:rsid w:val="003D0299"/>
    <w:rsid w:val="003D10F3"/>
    <w:rsid w:val="003D1B49"/>
    <w:rsid w:val="003E3165"/>
    <w:rsid w:val="003E63D4"/>
    <w:rsid w:val="003E6D80"/>
    <w:rsid w:val="003F05FA"/>
    <w:rsid w:val="003F244A"/>
    <w:rsid w:val="003F3090"/>
    <w:rsid w:val="003F30B8"/>
    <w:rsid w:val="003F4C45"/>
    <w:rsid w:val="003F5F7B"/>
    <w:rsid w:val="003F7D64"/>
    <w:rsid w:val="0040017B"/>
    <w:rsid w:val="00401118"/>
    <w:rsid w:val="00401E2A"/>
    <w:rsid w:val="004034FD"/>
    <w:rsid w:val="00414300"/>
    <w:rsid w:val="004147EA"/>
    <w:rsid w:val="00425C67"/>
    <w:rsid w:val="0042676B"/>
    <w:rsid w:val="004279C0"/>
    <w:rsid w:val="00427E7A"/>
    <w:rsid w:val="00434EC4"/>
    <w:rsid w:val="00436540"/>
    <w:rsid w:val="00436C49"/>
    <w:rsid w:val="00440F04"/>
    <w:rsid w:val="004445FE"/>
    <w:rsid w:val="00445366"/>
    <w:rsid w:val="00446AD2"/>
    <w:rsid w:val="00447F5B"/>
    <w:rsid w:val="0045067D"/>
    <w:rsid w:val="00450BF4"/>
    <w:rsid w:val="00456614"/>
    <w:rsid w:val="004613C6"/>
    <w:rsid w:val="00461DB0"/>
    <w:rsid w:val="00462A8B"/>
    <w:rsid w:val="00463926"/>
    <w:rsid w:val="00464C9A"/>
    <w:rsid w:val="0046535C"/>
    <w:rsid w:val="00467E5C"/>
    <w:rsid w:val="0047000D"/>
    <w:rsid w:val="0047062F"/>
    <w:rsid w:val="004735EF"/>
    <w:rsid w:val="004741F5"/>
    <w:rsid w:val="00474F3D"/>
    <w:rsid w:val="00477E3A"/>
    <w:rsid w:val="00483E5F"/>
    <w:rsid w:val="00485FF9"/>
    <w:rsid w:val="004907F0"/>
    <w:rsid w:val="0049140B"/>
    <w:rsid w:val="004923A5"/>
    <w:rsid w:val="0049296B"/>
    <w:rsid w:val="0049330A"/>
    <w:rsid w:val="004940CE"/>
    <w:rsid w:val="0049587C"/>
    <w:rsid w:val="00495AD0"/>
    <w:rsid w:val="00496BFB"/>
    <w:rsid w:val="004A0889"/>
    <w:rsid w:val="004A15C7"/>
    <w:rsid w:val="004A5744"/>
    <w:rsid w:val="004B013B"/>
    <w:rsid w:val="004B031B"/>
    <w:rsid w:val="004B032F"/>
    <w:rsid w:val="004B08DB"/>
    <w:rsid w:val="004B112B"/>
    <w:rsid w:val="004C01E4"/>
    <w:rsid w:val="004C086C"/>
    <w:rsid w:val="004C0D03"/>
    <w:rsid w:val="004C1F56"/>
    <w:rsid w:val="004C27BC"/>
    <w:rsid w:val="004C3963"/>
    <w:rsid w:val="004C5A50"/>
    <w:rsid w:val="004D15F3"/>
    <w:rsid w:val="004D167A"/>
    <w:rsid w:val="004D3B94"/>
    <w:rsid w:val="004D4AB3"/>
    <w:rsid w:val="004D5311"/>
    <w:rsid w:val="004D5DCC"/>
    <w:rsid w:val="004D6264"/>
    <w:rsid w:val="004E29DB"/>
    <w:rsid w:val="004E742A"/>
    <w:rsid w:val="004F10AF"/>
    <w:rsid w:val="004F11A4"/>
    <w:rsid w:val="004F1679"/>
    <w:rsid w:val="004F2389"/>
    <w:rsid w:val="004F2979"/>
    <w:rsid w:val="004F304D"/>
    <w:rsid w:val="004F61BE"/>
    <w:rsid w:val="004F66B1"/>
    <w:rsid w:val="004F769D"/>
    <w:rsid w:val="005003EB"/>
    <w:rsid w:val="0050618F"/>
    <w:rsid w:val="00511C07"/>
    <w:rsid w:val="00514DFC"/>
    <w:rsid w:val="00515E58"/>
    <w:rsid w:val="005173A6"/>
    <w:rsid w:val="00520BAA"/>
    <w:rsid w:val="00525208"/>
    <w:rsid w:val="005257A5"/>
    <w:rsid w:val="00525AF8"/>
    <w:rsid w:val="00526110"/>
    <w:rsid w:val="005264C0"/>
    <w:rsid w:val="00526A8A"/>
    <w:rsid w:val="00531DF2"/>
    <w:rsid w:val="00533BF2"/>
    <w:rsid w:val="00536750"/>
    <w:rsid w:val="005442EE"/>
    <w:rsid w:val="00547353"/>
    <w:rsid w:val="005474E7"/>
    <w:rsid w:val="005512A3"/>
    <w:rsid w:val="00551C39"/>
    <w:rsid w:val="005520B1"/>
    <w:rsid w:val="00553CFB"/>
    <w:rsid w:val="005578CE"/>
    <w:rsid w:val="0056015B"/>
    <w:rsid w:val="00562781"/>
    <w:rsid w:val="00562C74"/>
    <w:rsid w:val="0056305A"/>
    <w:rsid w:val="0056713F"/>
    <w:rsid w:val="00570131"/>
    <w:rsid w:val="00570D6E"/>
    <w:rsid w:val="0057271C"/>
    <w:rsid w:val="00572845"/>
    <w:rsid w:val="00574C83"/>
    <w:rsid w:val="00580F8C"/>
    <w:rsid w:val="00582EDC"/>
    <w:rsid w:val="00583228"/>
    <w:rsid w:val="00585E4A"/>
    <w:rsid w:val="00592772"/>
    <w:rsid w:val="005946B5"/>
    <w:rsid w:val="005952BF"/>
    <w:rsid w:val="0059574A"/>
    <w:rsid w:val="00595CA1"/>
    <w:rsid w:val="00596468"/>
    <w:rsid w:val="005A02CB"/>
    <w:rsid w:val="005A0854"/>
    <w:rsid w:val="005A1B9B"/>
    <w:rsid w:val="005A5765"/>
    <w:rsid w:val="005A6751"/>
    <w:rsid w:val="005A6AA9"/>
    <w:rsid w:val="005B065B"/>
    <w:rsid w:val="005B092E"/>
    <w:rsid w:val="005B152C"/>
    <w:rsid w:val="005B1EE0"/>
    <w:rsid w:val="005B2B24"/>
    <w:rsid w:val="005B3F38"/>
    <w:rsid w:val="005B4425"/>
    <w:rsid w:val="005B4B94"/>
    <w:rsid w:val="005B577D"/>
    <w:rsid w:val="005B5EB5"/>
    <w:rsid w:val="005B6EE7"/>
    <w:rsid w:val="005C1BAB"/>
    <w:rsid w:val="005C3EE8"/>
    <w:rsid w:val="005C5707"/>
    <w:rsid w:val="005C78F7"/>
    <w:rsid w:val="005D1018"/>
    <w:rsid w:val="005D17F7"/>
    <w:rsid w:val="005D304C"/>
    <w:rsid w:val="005D34F9"/>
    <w:rsid w:val="005D38F8"/>
    <w:rsid w:val="005D4190"/>
    <w:rsid w:val="005D67A3"/>
    <w:rsid w:val="005D7DB0"/>
    <w:rsid w:val="005E0E38"/>
    <w:rsid w:val="005E1FA2"/>
    <w:rsid w:val="005E2988"/>
    <w:rsid w:val="005E3020"/>
    <w:rsid w:val="005E3085"/>
    <w:rsid w:val="005E37C6"/>
    <w:rsid w:val="005E5A0A"/>
    <w:rsid w:val="005E6B14"/>
    <w:rsid w:val="005F0A97"/>
    <w:rsid w:val="005F1C2F"/>
    <w:rsid w:val="005F3F51"/>
    <w:rsid w:val="005F51E1"/>
    <w:rsid w:val="005F6DC2"/>
    <w:rsid w:val="0060582D"/>
    <w:rsid w:val="00611C80"/>
    <w:rsid w:val="00614FEC"/>
    <w:rsid w:val="006167B6"/>
    <w:rsid w:val="00620692"/>
    <w:rsid w:val="00621CC6"/>
    <w:rsid w:val="006242CA"/>
    <w:rsid w:val="00625ACA"/>
    <w:rsid w:val="00626B9B"/>
    <w:rsid w:val="00627507"/>
    <w:rsid w:val="00627845"/>
    <w:rsid w:val="0063009B"/>
    <w:rsid w:val="006306A9"/>
    <w:rsid w:val="00633717"/>
    <w:rsid w:val="00633B26"/>
    <w:rsid w:val="006344E1"/>
    <w:rsid w:val="006375B4"/>
    <w:rsid w:val="00640330"/>
    <w:rsid w:val="00643E24"/>
    <w:rsid w:val="0064486E"/>
    <w:rsid w:val="0065298D"/>
    <w:rsid w:val="0065358C"/>
    <w:rsid w:val="006545C4"/>
    <w:rsid w:val="00656914"/>
    <w:rsid w:val="00660507"/>
    <w:rsid w:val="00661971"/>
    <w:rsid w:val="00661CE8"/>
    <w:rsid w:val="006623D9"/>
    <w:rsid w:val="006644C3"/>
    <w:rsid w:val="0066550C"/>
    <w:rsid w:val="00667B26"/>
    <w:rsid w:val="006716F2"/>
    <w:rsid w:val="00672AD7"/>
    <w:rsid w:val="00674AD1"/>
    <w:rsid w:val="00675864"/>
    <w:rsid w:val="006770DE"/>
    <w:rsid w:val="00682BF2"/>
    <w:rsid w:val="006859CE"/>
    <w:rsid w:val="00691270"/>
    <w:rsid w:val="0069317A"/>
    <w:rsid w:val="00694A2E"/>
    <w:rsid w:val="00694BA8"/>
    <w:rsid w:val="00697A74"/>
    <w:rsid w:val="006A037C"/>
    <w:rsid w:val="006A36F4"/>
    <w:rsid w:val="006A406F"/>
    <w:rsid w:val="006A5D3A"/>
    <w:rsid w:val="006A7330"/>
    <w:rsid w:val="006A7A73"/>
    <w:rsid w:val="006B1D94"/>
    <w:rsid w:val="006B27DA"/>
    <w:rsid w:val="006B6680"/>
    <w:rsid w:val="006B7591"/>
    <w:rsid w:val="006C0E71"/>
    <w:rsid w:val="006C1BCB"/>
    <w:rsid w:val="006C23D4"/>
    <w:rsid w:val="006C2EDA"/>
    <w:rsid w:val="006C64BE"/>
    <w:rsid w:val="006C7BB0"/>
    <w:rsid w:val="006D3237"/>
    <w:rsid w:val="006E2E37"/>
    <w:rsid w:val="006E2EEF"/>
    <w:rsid w:val="006E3CF1"/>
    <w:rsid w:val="006E5160"/>
    <w:rsid w:val="006E7E80"/>
    <w:rsid w:val="006F0BB4"/>
    <w:rsid w:val="006F1FC8"/>
    <w:rsid w:val="006F3C82"/>
    <w:rsid w:val="006F48CA"/>
    <w:rsid w:val="006F5910"/>
    <w:rsid w:val="006F64DD"/>
    <w:rsid w:val="00711B9F"/>
    <w:rsid w:val="00713619"/>
    <w:rsid w:val="00715127"/>
    <w:rsid w:val="00715896"/>
    <w:rsid w:val="00715E8E"/>
    <w:rsid w:val="007201E3"/>
    <w:rsid w:val="00723296"/>
    <w:rsid w:val="00723580"/>
    <w:rsid w:val="00723755"/>
    <w:rsid w:val="00723D4A"/>
    <w:rsid w:val="00725258"/>
    <w:rsid w:val="0073136C"/>
    <w:rsid w:val="007314BE"/>
    <w:rsid w:val="00731F0F"/>
    <w:rsid w:val="00733250"/>
    <w:rsid w:val="00741404"/>
    <w:rsid w:val="00743DF4"/>
    <w:rsid w:val="007449E5"/>
    <w:rsid w:val="00746996"/>
    <w:rsid w:val="00747FF0"/>
    <w:rsid w:val="00750E3D"/>
    <w:rsid w:val="007565C1"/>
    <w:rsid w:val="00760D73"/>
    <w:rsid w:val="00763745"/>
    <w:rsid w:val="00764D4E"/>
    <w:rsid w:val="00765A1F"/>
    <w:rsid w:val="00766526"/>
    <w:rsid w:val="00766DB3"/>
    <w:rsid w:val="00772503"/>
    <w:rsid w:val="00775B6D"/>
    <w:rsid w:val="00776D68"/>
    <w:rsid w:val="00781904"/>
    <w:rsid w:val="00783776"/>
    <w:rsid w:val="007850EE"/>
    <w:rsid w:val="00785B95"/>
    <w:rsid w:val="00787DF5"/>
    <w:rsid w:val="00790E96"/>
    <w:rsid w:val="00793366"/>
    <w:rsid w:val="007952DA"/>
    <w:rsid w:val="007A2412"/>
    <w:rsid w:val="007A31D8"/>
    <w:rsid w:val="007A716F"/>
    <w:rsid w:val="007B270A"/>
    <w:rsid w:val="007B4B56"/>
    <w:rsid w:val="007B72C1"/>
    <w:rsid w:val="007C0695"/>
    <w:rsid w:val="007C4100"/>
    <w:rsid w:val="007C419A"/>
    <w:rsid w:val="007C4928"/>
    <w:rsid w:val="007C4CC8"/>
    <w:rsid w:val="007C5426"/>
    <w:rsid w:val="007C5798"/>
    <w:rsid w:val="007C5E89"/>
    <w:rsid w:val="007D0B90"/>
    <w:rsid w:val="007D3705"/>
    <w:rsid w:val="007D4832"/>
    <w:rsid w:val="007D4866"/>
    <w:rsid w:val="007D4E39"/>
    <w:rsid w:val="007D5504"/>
    <w:rsid w:val="007D59C3"/>
    <w:rsid w:val="007D5CEE"/>
    <w:rsid w:val="007D714E"/>
    <w:rsid w:val="007D71DD"/>
    <w:rsid w:val="007E21B2"/>
    <w:rsid w:val="007E2C4E"/>
    <w:rsid w:val="007E3ED4"/>
    <w:rsid w:val="007E48C2"/>
    <w:rsid w:val="007F1905"/>
    <w:rsid w:val="007F4F51"/>
    <w:rsid w:val="007F6AAD"/>
    <w:rsid w:val="007F762B"/>
    <w:rsid w:val="00801300"/>
    <w:rsid w:val="00802C64"/>
    <w:rsid w:val="008047FF"/>
    <w:rsid w:val="00805E52"/>
    <w:rsid w:val="008061D0"/>
    <w:rsid w:val="00810B38"/>
    <w:rsid w:val="008145BF"/>
    <w:rsid w:val="00816A66"/>
    <w:rsid w:val="008204C7"/>
    <w:rsid w:val="008204E5"/>
    <w:rsid w:val="00820992"/>
    <w:rsid w:val="00823602"/>
    <w:rsid w:val="008255F5"/>
    <w:rsid w:val="0082778F"/>
    <w:rsid w:val="00827DEA"/>
    <w:rsid w:val="0083014E"/>
    <w:rsid w:val="0083214A"/>
    <w:rsid w:val="00834220"/>
    <w:rsid w:val="0083543C"/>
    <w:rsid w:val="00836B26"/>
    <w:rsid w:val="00840977"/>
    <w:rsid w:val="0084351A"/>
    <w:rsid w:val="00845723"/>
    <w:rsid w:val="00851CEC"/>
    <w:rsid w:val="00851EF9"/>
    <w:rsid w:val="008577FD"/>
    <w:rsid w:val="00857BDD"/>
    <w:rsid w:val="00860B03"/>
    <w:rsid w:val="00860FDE"/>
    <w:rsid w:val="0086497A"/>
    <w:rsid w:val="00866266"/>
    <w:rsid w:val="00870FB2"/>
    <w:rsid w:val="008713A1"/>
    <w:rsid w:val="00871525"/>
    <w:rsid w:val="008743BB"/>
    <w:rsid w:val="008754AB"/>
    <w:rsid w:val="00875AB3"/>
    <w:rsid w:val="00875C29"/>
    <w:rsid w:val="00877A8F"/>
    <w:rsid w:val="0088060C"/>
    <w:rsid w:val="00880EEC"/>
    <w:rsid w:val="00885A29"/>
    <w:rsid w:val="00892681"/>
    <w:rsid w:val="00893576"/>
    <w:rsid w:val="00893E73"/>
    <w:rsid w:val="008A08F3"/>
    <w:rsid w:val="008A1AD8"/>
    <w:rsid w:val="008B02DC"/>
    <w:rsid w:val="008B24D6"/>
    <w:rsid w:val="008B2F7E"/>
    <w:rsid w:val="008B57CE"/>
    <w:rsid w:val="008C0393"/>
    <w:rsid w:val="008C26DE"/>
    <w:rsid w:val="008D05C3"/>
    <w:rsid w:val="008D2225"/>
    <w:rsid w:val="008D4752"/>
    <w:rsid w:val="008D535D"/>
    <w:rsid w:val="008D7298"/>
    <w:rsid w:val="008E271C"/>
    <w:rsid w:val="008E3112"/>
    <w:rsid w:val="008E418E"/>
    <w:rsid w:val="008E5BC6"/>
    <w:rsid w:val="008E6A25"/>
    <w:rsid w:val="008F15DD"/>
    <w:rsid w:val="008F267F"/>
    <w:rsid w:val="008F35EB"/>
    <w:rsid w:val="008F5193"/>
    <w:rsid w:val="008F5C71"/>
    <w:rsid w:val="008F6200"/>
    <w:rsid w:val="008F7A89"/>
    <w:rsid w:val="009013A7"/>
    <w:rsid w:val="009017FB"/>
    <w:rsid w:val="009017FC"/>
    <w:rsid w:val="0090506B"/>
    <w:rsid w:val="009050C9"/>
    <w:rsid w:val="00905ADA"/>
    <w:rsid w:val="009066FC"/>
    <w:rsid w:val="00913952"/>
    <w:rsid w:val="009140A3"/>
    <w:rsid w:val="009144A2"/>
    <w:rsid w:val="009149F5"/>
    <w:rsid w:val="0091510C"/>
    <w:rsid w:val="00923D39"/>
    <w:rsid w:val="009259AC"/>
    <w:rsid w:val="00926AD5"/>
    <w:rsid w:val="00926F38"/>
    <w:rsid w:val="00931F02"/>
    <w:rsid w:val="00934301"/>
    <w:rsid w:val="00934898"/>
    <w:rsid w:val="00934D8E"/>
    <w:rsid w:val="00936C2D"/>
    <w:rsid w:val="00936CD1"/>
    <w:rsid w:val="00940A24"/>
    <w:rsid w:val="00941747"/>
    <w:rsid w:val="00941EFB"/>
    <w:rsid w:val="009428D6"/>
    <w:rsid w:val="00943A3B"/>
    <w:rsid w:val="009474B1"/>
    <w:rsid w:val="00947AFB"/>
    <w:rsid w:val="00951D7D"/>
    <w:rsid w:val="00955D51"/>
    <w:rsid w:val="00960867"/>
    <w:rsid w:val="009630C7"/>
    <w:rsid w:val="00971497"/>
    <w:rsid w:val="00971F5F"/>
    <w:rsid w:val="00972B55"/>
    <w:rsid w:val="009741FD"/>
    <w:rsid w:val="009743B7"/>
    <w:rsid w:val="00974982"/>
    <w:rsid w:val="0098228B"/>
    <w:rsid w:val="009828DA"/>
    <w:rsid w:val="00982D9E"/>
    <w:rsid w:val="00982E40"/>
    <w:rsid w:val="0098318C"/>
    <w:rsid w:val="00985BAB"/>
    <w:rsid w:val="009A3DE0"/>
    <w:rsid w:val="009A4363"/>
    <w:rsid w:val="009B1B5F"/>
    <w:rsid w:val="009B5CDC"/>
    <w:rsid w:val="009B6673"/>
    <w:rsid w:val="009C03C8"/>
    <w:rsid w:val="009C191B"/>
    <w:rsid w:val="009C2BD6"/>
    <w:rsid w:val="009C5881"/>
    <w:rsid w:val="009C76DE"/>
    <w:rsid w:val="009D3FEB"/>
    <w:rsid w:val="009D405D"/>
    <w:rsid w:val="009D51E2"/>
    <w:rsid w:val="009D5A25"/>
    <w:rsid w:val="009E1F32"/>
    <w:rsid w:val="009E23B6"/>
    <w:rsid w:val="009E5CD4"/>
    <w:rsid w:val="009E776C"/>
    <w:rsid w:val="009F26E5"/>
    <w:rsid w:val="009F39BB"/>
    <w:rsid w:val="009F3D94"/>
    <w:rsid w:val="009F486D"/>
    <w:rsid w:val="00A00144"/>
    <w:rsid w:val="00A0283E"/>
    <w:rsid w:val="00A05E78"/>
    <w:rsid w:val="00A066BF"/>
    <w:rsid w:val="00A117FB"/>
    <w:rsid w:val="00A1726E"/>
    <w:rsid w:val="00A178FC"/>
    <w:rsid w:val="00A204CF"/>
    <w:rsid w:val="00A22AB1"/>
    <w:rsid w:val="00A23D49"/>
    <w:rsid w:val="00A24CD4"/>
    <w:rsid w:val="00A26882"/>
    <w:rsid w:val="00A27004"/>
    <w:rsid w:val="00A276DE"/>
    <w:rsid w:val="00A30C29"/>
    <w:rsid w:val="00A34DD6"/>
    <w:rsid w:val="00A34F6A"/>
    <w:rsid w:val="00A36819"/>
    <w:rsid w:val="00A36989"/>
    <w:rsid w:val="00A411D1"/>
    <w:rsid w:val="00A417EA"/>
    <w:rsid w:val="00A41911"/>
    <w:rsid w:val="00A43308"/>
    <w:rsid w:val="00A43628"/>
    <w:rsid w:val="00A47B1E"/>
    <w:rsid w:val="00A54192"/>
    <w:rsid w:val="00A6035E"/>
    <w:rsid w:val="00A6144C"/>
    <w:rsid w:val="00A6199F"/>
    <w:rsid w:val="00A66617"/>
    <w:rsid w:val="00A66962"/>
    <w:rsid w:val="00A671F8"/>
    <w:rsid w:val="00A673A4"/>
    <w:rsid w:val="00A67454"/>
    <w:rsid w:val="00A67531"/>
    <w:rsid w:val="00A7068F"/>
    <w:rsid w:val="00A724AE"/>
    <w:rsid w:val="00A73329"/>
    <w:rsid w:val="00A74BC1"/>
    <w:rsid w:val="00A81F09"/>
    <w:rsid w:val="00A82359"/>
    <w:rsid w:val="00A824E5"/>
    <w:rsid w:val="00A84E66"/>
    <w:rsid w:val="00A865D2"/>
    <w:rsid w:val="00A937D0"/>
    <w:rsid w:val="00A94C20"/>
    <w:rsid w:val="00A97C3E"/>
    <w:rsid w:val="00AA227F"/>
    <w:rsid w:val="00AA3BC7"/>
    <w:rsid w:val="00AA754A"/>
    <w:rsid w:val="00AB099E"/>
    <w:rsid w:val="00AB1351"/>
    <w:rsid w:val="00AB385E"/>
    <w:rsid w:val="00AB4261"/>
    <w:rsid w:val="00AB4328"/>
    <w:rsid w:val="00AC04CE"/>
    <w:rsid w:val="00AC0824"/>
    <w:rsid w:val="00AC33D1"/>
    <w:rsid w:val="00AC4EBF"/>
    <w:rsid w:val="00AC6954"/>
    <w:rsid w:val="00AD19EB"/>
    <w:rsid w:val="00AD1C99"/>
    <w:rsid w:val="00AD268D"/>
    <w:rsid w:val="00AD412E"/>
    <w:rsid w:val="00AD48CF"/>
    <w:rsid w:val="00AD78F5"/>
    <w:rsid w:val="00AE0A2E"/>
    <w:rsid w:val="00AE22EE"/>
    <w:rsid w:val="00AE354C"/>
    <w:rsid w:val="00AE3BBB"/>
    <w:rsid w:val="00AE539E"/>
    <w:rsid w:val="00AE5F7F"/>
    <w:rsid w:val="00AE7935"/>
    <w:rsid w:val="00AE7DA5"/>
    <w:rsid w:val="00AF2348"/>
    <w:rsid w:val="00AF4B07"/>
    <w:rsid w:val="00AF5CC8"/>
    <w:rsid w:val="00AF6186"/>
    <w:rsid w:val="00AF7A3A"/>
    <w:rsid w:val="00B014ED"/>
    <w:rsid w:val="00B07206"/>
    <w:rsid w:val="00B10776"/>
    <w:rsid w:val="00B10BD5"/>
    <w:rsid w:val="00B160DB"/>
    <w:rsid w:val="00B20836"/>
    <w:rsid w:val="00B235BB"/>
    <w:rsid w:val="00B23E15"/>
    <w:rsid w:val="00B27A44"/>
    <w:rsid w:val="00B30224"/>
    <w:rsid w:val="00B30BBF"/>
    <w:rsid w:val="00B33C03"/>
    <w:rsid w:val="00B44E56"/>
    <w:rsid w:val="00B46543"/>
    <w:rsid w:val="00B47319"/>
    <w:rsid w:val="00B47D33"/>
    <w:rsid w:val="00B52BE0"/>
    <w:rsid w:val="00B54025"/>
    <w:rsid w:val="00B54133"/>
    <w:rsid w:val="00B619AF"/>
    <w:rsid w:val="00B61D46"/>
    <w:rsid w:val="00B6243A"/>
    <w:rsid w:val="00B65010"/>
    <w:rsid w:val="00B700FE"/>
    <w:rsid w:val="00B701ED"/>
    <w:rsid w:val="00B8086C"/>
    <w:rsid w:val="00B8461A"/>
    <w:rsid w:val="00B85772"/>
    <w:rsid w:val="00B861B4"/>
    <w:rsid w:val="00B86DFE"/>
    <w:rsid w:val="00B87AD3"/>
    <w:rsid w:val="00B90990"/>
    <w:rsid w:val="00B90BC0"/>
    <w:rsid w:val="00B922FF"/>
    <w:rsid w:val="00B9281E"/>
    <w:rsid w:val="00B92C25"/>
    <w:rsid w:val="00B93925"/>
    <w:rsid w:val="00B93ECF"/>
    <w:rsid w:val="00B94CCA"/>
    <w:rsid w:val="00B94E33"/>
    <w:rsid w:val="00B95187"/>
    <w:rsid w:val="00B9776F"/>
    <w:rsid w:val="00BA2D55"/>
    <w:rsid w:val="00BA71B1"/>
    <w:rsid w:val="00BB0637"/>
    <w:rsid w:val="00BB06E4"/>
    <w:rsid w:val="00BB28BC"/>
    <w:rsid w:val="00BB345F"/>
    <w:rsid w:val="00BB5B25"/>
    <w:rsid w:val="00BB679F"/>
    <w:rsid w:val="00BB68EA"/>
    <w:rsid w:val="00BC1C27"/>
    <w:rsid w:val="00BC2AD8"/>
    <w:rsid w:val="00BC44CA"/>
    <w:rsid w:val="00BC4A8F"/>
    <w:rsid w:val="00BC6BBF"/>
    <w:rsid w:val="00BD0653"/>
    <w:rsid w:val="00BD1572"/>
    <w:rsid w:val="00BD18A2"/>
    <w:rsid w:val="00BD36A5"/>
    <w:rsid w:val="00BD3723"/>
    <w:rsid w:val="00BD4478"/>
    <w:rsid w:val="00BD4ACD"/>
    <w:rsid w:val="00BD4DF2"/>
    <w:rsid w:val="00BE14E3"/>
    <w:rsid w:val="00BE3774"/>
    <w:rsid w:val="00BE41E5"/>
    <w:rsid w:val="00BE486C"/>
    <w:rsid w:val="00BE4BB0"/>
    <w:rsid w:val="00BF11C3"/>
    <w:rsid w:val="00BF3354"/>
    <w:rsid w:val="00BF3379"/>
    <w:rsid w:val="00BF3B76"/>
    <w:rsid w:val="00BF3C61"/>
    <w:rsid w:val="00BF4109"/>
    <w:rsid w:val="00BF4CC3"/>
    <w:rsid w:val="00BF68B4"/>
    <w:rsid w:val="00C02021"/>
    <w:rsid w:val="00C054C7"/>
    <w:rsid w:val="00C057B5"/>
    <w:rsid w:val="00C06E15"/>
    <w:rsid w:val="00C115C6"/>
    <w:rsid w:val="00C1262B"/>
    <w:rsid w:val="00C12D73"/>
    <w:rsid w:val="00C22687"/>
    <w:rsid w:val="00C30622"/>
    <w:rsid w:val="00C32E4D"/>
    <w:rsid w:val="00C333A0"/>
    <w:rsid w:val="00C344B6"/>
    <w:rsid w:val="00C35870"/>
    <w:rsid w:val="00C35BD6"/>
    <w:rsid w:val="00C36408"/>
    <w:rsid w:val="00C36A81"/>
    <w:rsid w:val="00C41974"/>
    <w:rsid w:val="00C426D3"/>
    <w:rsid w:val="00C53F4A"/>
    <w:rsid w:val="00C54125"/>
    <w:rsid w:val="00C55B54"/>
    <w:rsid w:val="00C55D1F"/>
    <w:rsid w:val="00C5643E"/>
    <w:rsid w:val="00C6098E"/>
    <w:rsid w:val="00C611D8"/>
    <w:rsid w:val="00C6152C"/>
    <w:rsid w:val="00C63990"/>
    <w:rsid w:val="00C64EF6"/>
    <w:rsid w:val="00C65050"/>
    <w:rsid w:val="00C7195F"/>
    <w:rsid w:val="00C723CC"/>
    <w:rsid w:val="00C73681"/>
    <w:rsid w:val="00C74810"/>
    <w:rsid w:val="00C80435"/>
    <w:rsid w:val="00C83A0D"/>
    <w:rsid w:val="00C85344"/>
    <w:rsid w:val="00C87301"/>
    <w:rsid w:val="00C873DA"/>
    <w:rsid w:val="00C87598"/>
    <w:rsid w:val="00C90D68"/>
    <w:rsid w:val="00C90D77"/>
    <w:rsid w:val="00C91601"/>
    <w:rsid w:val="00C92A5D"/>
    <w:rsid w:val="00C93713"/>
    <w:rsid w:val="00C939FE"/>
    <w:rsid w:val="00C97C47"/>
    <w:rsid w:val="00CA23CE"/>
    <w:rsid w:val="00CA26FC"/>
    <w:rsid w:val="00CA3759"/>
    <w:rsid w:val="00CA4BDA"/>
    <w:rsid w:val="00CA627F"/>
    <w:rsid w:val="00CB1F66"/>
    <w:rsid w:val="00CB2951"/>
    <w:rsid w:val="00CB5E85"/>
    <w:rsid w:val="00CB6DF5"/>
    <w:rsid w:val="00CB6FA4"/>
    <w:rsid w:val="00CC0B0D"/>
    <w:rsid w:val="00CC2583"/>
    <w:rsid w:val="00CC36F6"/>
    <w:rsid w:val="00CC3FE5"/>
    <w:rsid w:val="00CC4973"/>
    <w:rsid w:val="00CC4DB8"/>
    <w:rsid w:val="00CC71E6"/>
    <w:rsid w:val="00CD282B"/>
    <w:rsid w:val="00CD2CBD"/>
    <w:rsid w:val="00CD4C35"/>
    <w:rsid w:val="00CD5BEE"/>
    <w:rsid w:val="00CD7369"/>
    <w:rsid w:val="00CE0B0E"/>
    <w:rsid w:val="00CE3831"/>
    <w:rsid w:val="00CE4FD4"/>
    <w:rsid w:val="00CF2431"/>
    <w:rsid w:val="00CF4013"/>
    <w:rsid w:val="00CF443A"/>
    <w:rsid w:val="00CF7700"/>
    <w:rsid w:val="00D00579"/>
    <w:rsid w:val="00D00ABB"/>
    <w:rsid w:val="00D02EEC"/>
    <w:rsid w:val="00D03551"/>
    <w:rsid w:val="00D05DEA"/>
    <w:rsid w:val="00D06A63"/>
    <w:rsid w:val="00D07E0E"/>
    <w:rsid w:val="00D11478"/>
    <w:rsid w:val="00D124A9"/>
    <w:rsid w:val="00D15ED0"/>
    <w:rsid w:val="00D20706"/>
    <w:rsid w:val="00D20870"/>
    <w:rsid w:val="00D21B3E"/>
    <w:rsid w:val="00D21FED"/>
    <w:rsid w:val="00D23996"/>
    <w:rsid w:val="00D24251"/>
    <w:rsid w:val="00D250D7"/>
    <w:rsid w:val="00D343E2"/>
    <w:rsid w:val="00D361A2"/>
    <w:rsid w:val="00D37C1F"/>
    <w:rsid w:val="00D42AFF"/>
    <w:rsid w:val="00D447EC"/>
    <w:rsid w:val="00D44C0C"/>
    <w:rsid w:val="00D44C2E"/>
    <w:rsid w:val="00D45414"/>
    <w:rsid w:val="00D522EF"/>
    <w:rsid w:val="00D53612"/>
    <w:rsid w:val="00D566BD"/>
    <w:rsid w:val="00D576CF"/>
    <w:rsid w:val="00D5789C"/>
    <w:rsid w:val="00D57A4D"/>
    <w:rsid w:val="00D60AA7"/>
    <w:rsid w:val="00D61ADC"/>
    <w:rsid w:val="00D61FBF"/>
    <w:rsid w:val="00D6435F"/>
    <w:rsid w:val="00D65AA2"/>
    <w:rsid w:val="00D67B9E"/>
    <w:rsid w:val="00D733BD"/>
    <w:rsid w:val="00D75E28"/>
    <w:rsid w:val="00D772C2"/>
    <w:rsid w:val="00D8008E"/>
    <w:rsid w:val="00D8117A"/>
    <w:rsid w:val="00D82C45"/>
    <w:rsid w:val="00D83CFD"/>
    <w:rsid w:val="00D85C6F"/>
    <w:rsid w:val="00D908A8"/>
    <w:rsid w:val="00D92C89"/>
    <w:rsid w:val="00D94399"/>
    <w:rsid w:val="00D977B6"/>
    <w:rsid w:val="00DA02C2"/>
    <w:rsid w:val="00DA047A"/>
    <w:rsid w:val="00DA4A31"/>
    <w:rsid w:val="00DA7B04"/>
    <w:rsid w:val="00DB36C2"/>
    <w:rsid w:val="00DB5C4B"/>
    <w:rsid w:val="00DC169B"/>
    <w:rsid w:val="00DC1FCD"/>
    <w:rsid w:val="00DC2AB9"/>
    <w:rsid w:val="00DC3C8C"/>
    <w:rsid w:val="00DC5E2D"/>
    <w:rsid w:val="00DC63F0"/>
    <w:rsid w:val="00DD4AAB"/>
    <w:rsid w:val="00DD5146"/>
    <w:rsid w:val="00DD6EE5"/>
    <w:rsid w:val="00DD706F"/>
    <w:rsid w:val="00DD7498"/>
    <w:rsid w:val="00DD7A10"/>
    <w:rsid w:val="00DE194D"/>
    <w:rsid w:val="00DE386C"/>
    <w:rsid w:val="00DE4D35"/>
    <w:rsid w:val="00DE65E6"/>
    <w:rsid w:val="00DF01C7"/>
    <w:rsid w:val="00DF098B"/>
    <w:rsid w:val="00DF11C4"/>
    <w:rsid w:val="00DF210C"/>
    <w:rsid w:val="00DF39DE"/>
    <w:rsid w:val="00DF4B6A"/>
    <w:rsid w:val="00DF58A1"/>
    <w:rsid w:val="00DF61E6"/>
    <w:rsid w:val="00E01E65"/>
    <w:rsid w:val="00E02C09"/>
    <w:rsid w:val="00E02F0C"/>
    <w:rsid w:val="00E04D59"/>
    <w:rsid w:val="00E04D6B"/>
    <w:rsid w:val="00E07DA1"/>
    <w:rsid w:val="00E123CB"/>
    <w:rsid w:val="00E146D5"/>
    <w:rsid w:val="00E2091D"/>
    <w:rsid w:val="00E20E13"/>
    <w:rsid w:val="00E21DBC"/>
    <w:rsid w:val="00E275D7"/>
    <w:rsid w:val="00E27DBE"/>
    <w:rsid w:val="00E31D27"/>
    <w:rsid w:val="00E32AB1"/>
    <w:rsid w:val="00E33245"/>
    <w:rsid w:val="00E34196"/>
    <w:rsid w:val="00E36C71"/>
    <w:rsid w:val="00E40404"/>
    <w:rsid w:val="00E40595"/>
    <w:rsid w:val="00E4346B"/>
    <w:rsid w:val="00E44B93"/>
    <w:rsid w:val="00E4529A"/>
    <w:rsid w:val="00E459C6"/>
    <w:rsid w:val="00E464CC"/>
    <w:rsid w:val="00E47589"/>
    <w:rsid w:val="00E47D32"/>
    <w:rsid w:val="00E51DF8"/>
    <w:rsid w:val="00E529BB"/>
    <w:rsid w:val="00E555E3"/>
    <w:rsid w:val="00E55B3C"/>
    <w:rsid w:val="00E56615"/>
    <w:rsid w:val="00E56C1D"/>
    <w:rsid w:val="00E6282F"/>
    <w:rsid w:val="00E64915"/>
    <w:rsid w:val="00E65A8C"/>
    <w:rsid w:val="00E661D4"/>
    <w:rsid w:val="00E669A1"/>
    <w:rsid w:val="00E675F4"/>
    <w:rsid w:val="00E677D7"/>
    <w:rsid w:val="00E70091"/>
    <w:rsid w:val="00E7096F"/>
    <w:rsid w:val="00E70AAC"/>
    <w:rsid w:val="00E70F54"/>
    <w:rsid w:val="00E7168F"/>
    <w:rsid w:val="00E720F5"/>
    <w:rsid w:val="00E74F2D"/>
    <w:rsid w:val="00E76D47"/>
    <w:rsid w:val="00E77632"/>
    <w:rsid w:val="00E77CB3"/>
    <w:rsid w:val="00E849F7"/>
    <w:rsid w:val="00E85EF2"/>
    <w:rsid w:val="00E87FF8"/>
    <w:rsid w:val="00E90302"/>
    <w:rsid w:val="00E943A9"/>
    <w:rsid w:val="00E97396"/>
    <w:rsid w:val="00EA0BEF"/>
    <w:rsid w:val="00EA1462"/>
    <w:rsid w:val="00EA185E"/>
    <w:rsid w:val="00EA2050"/>
    <w:rsid w:val="00EA592A"/>
    <w:rsid w:val="00EB0008"/>
    <w:rsid w:val="00EB14E4"/>
    <w:rsid w:val="00EB1AD3"/>
    <w:rsid w:val="00EB1D66"/>
    <w:rsid w:val="00EB32A5"/>
    <w:rsid w:val="00EB34ED"/>
    <w:rsid w:val="00EB6501"/>
    <w:rsid w:val="00EB726B"/>
    <w:rsid w:val="00EB7BE0"/>
    <w:rsid w:val="00EB7E63"/>
    <w:rsid w:val="00EC100F"/>
    <w:rsid w:val="00EC315E"/>
    <w:rsid w:val="00EC565C"/>
    <w:rsid w:val="00EC6C5E"/>
    <w:rsid w:val="00ED077C"/>
    <w:rsid w:val="00ED0798"/>
    <w:rsid w:val="00ED1190"/>
    <w:rsid w:val="00ED6544"/>
    <w:rsid w:val="00EE0277"/>
    <w:rsid w:val="00EE3E00"/>
    <w:rsid w:val="00EE5DD2"/>
    <w:rsid w:val="00EE7A59"/>
    <w:rsid w:val="00EF0A2E"/>
    <w:rsid w:val="00EF16FD"/>
    <w:rsid w:val="00EF22BB"/>
    <w:rsid w:val="00EF467E"/>
    <w:rsid w:val="00EF4E78"/>
    <w:rsid w:val="00EF63C2"/>
    <w:rsid w:val="00F00089"/>
    <w:rsid w:val="00F00A79"/>
    <w:rsid w:val="00F00E86"/>
    <w:rsid w:val="00F04E86"/>
    <w:rsid w:val="00F06221"/>
    <w:rsid w:val="00F071E5"/>
    <w:rsid w:val="00F07C1E"/>
    <w:rsid w:val="00F105DB"/>
    <w:rsid w:val="00F132BC"/>
    <w:rsid w:val="00F13D80"/>
    <w:rsid w:val="00F158D5"/>
    <w:rsid w:val="00F16AAA"/>
    <w:rsid w:val="00F21161"/>
    <w:rsid w:val="00F211E4"/>
    <w:rsid w:val="00F218EF"/>
    <w:rsid w:val="00F21BC7"/>
    <w:rsid w:val="00F266A2"/>
    <w:rsid w:val="00F32269"/>
    <w:rsid w:val="00F42CF2"/>
    <w:rsid w:val="00F46E99"/>
    <w:rsid w:val="00F5264B"/>
    <w:rsid w:val="00F53A6E"/>
    <w:rsid w:val="00F56A6F"/>
    <w:rsid w:val="00F5709C"/>
    <w:rsid w:val="00F6338D"/>
    <w:rsid w:val="00F636E8"/>
    <w:rsid w:val="00F64EF1"/>
    <w:rsid w:val="00F65054"/>
    <w:rsid w:val="00F71B87"/>
    <w:rsid w:val="00F749B7"/>
    <w:rsid w:val="00F76F5A"/>
    <w:rsid w:val="00F80421"/>
    <w:rsid w:val="00F814D9"/>
    <w:rsid w:val="00F81900"/>
    <w:rsid w:val="00F83438"/>
    <w:rsid w:val="00F84101"/>
    <w:rsid w:val="00F8638E"/>
    <w:rsid w:val="00F8765F"/>
    <w:rsid w:val="00F90767"/>
    <w:rsid w:val="00F935D7"/>
    <w:rsid w:val="00FA3010"/>
    <w:rsid w:val="00FA685B"/>
    <w:rsid w:val="00FB0C01"/>
    <w:rsid w:val="00FB2B45"/>
    <w:rsid w:val="00FC0D21"/>
    <w:rsid w:val="00FC18F2"/>
    <w:rsid w:val="00FC39E5"/>
    <w:rsid w:val="00FC3A78"/>
    <w:rsid w:val="00FC51C6"/>
    <w:rsid w:val="00FD0647"/>
    <w:rsid w:val="00FD0BE8"/>
    <w:rsid w:val="00FD1005"/>
    <w:rsid w:val="00FD3B1A"/>
    <w:rsid w:val="00FD6C75"/>
    <w:rsid w:val="00FE3DA4"/>
    <w:rsid w:val="00FE71B3"/>
    <w:rsid w:val="00FF245F"/>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annotation reference" w:uiPriority="0"/>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9D3FEB"/>
    <w:pPr>
      <w:jc w:val="both"/>
    </w:pPr>
    <w:rPr>
      <w:rFonts w:eastAsiaTheme="minorEastAsia"/>
      <w:sz w:val="24"/>
    </w:rPr>
  </w:style>
  <w:style w:type="paragraph" w:styleId="Titolo1">
    <w:name w:val="heading 1"/>
    <w:basedOn w:val="Normale"/>
    <w:next w:val="Normale"/>
    <w:link w:val="Titolo1Carattere"/>
    <w:uiPriority w:val="99"/>
    <w:semiHidden/>
    <w:rsid w:val="009D3FEB"/>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D3FEB"/>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D3FEB"/>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D3FEB"/>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9D3FEB"/>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9D3FEB"/>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9D3FEB"/>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9D3FEB"/>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9D3FEB"/>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D3FE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3FEB"/>
    <w:rPr>
      <w:rFonts w:ascii="Tahoma" w:eastAsiaTheme="minorEastAsia" w:hAnsi="Tahoma" w:cs="Tahoma"/>
      <w:sz w:val="16"/>
      <w:szCs w:val="16"/>
    </w:rPr>
  </w:style>
  <w:style w:type="character" w:styleId="Titolodellibro">
    <w:name w:val="Book Title"/>
    <w:uiPriority w:val="99"/>
    <w:semiHidden/>
    <w:qFormat/>
    <w:rsid w:val="009D3FEB"/>
    <w:rPr>
      <w:i/>
      <w:iCs/>
      <w:smallCaps/>
      <w:spacing w:val="5"/>
    </w:rPr>
  </w:style>
  <w:style w:type="paragraph" w:customStyle="1" w:styleId="ECHRHeader">
    <w:name w:val="ECHR_Header"/>
    <w:aliases w:val="Ju_Header"/>
    <w:basedOn w:val="Intestazione"/>
    <w:uiPriority w:val="4"/>
    <w:qFormat/>
    <w:rsid w:val="009D3FEB"/>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semiHidden/>
    <w:rsid w:val="009D3FEB"/>
    <w:pPr>
      <w:jc w:val="left"/>
    </w:pPr>
    <w:rPr>
      <w:sz w:val="8"/>
    </w:rPr>
  </w:style>
  <w:style w:type="character" w:styleId="Enfasigrassetto">
    <w:name w:val="Strong"/>
    <w:uiPriority w:val="99"/>
    <w:semiHidden/>
    <w:qFormat/>
    <w:rsid w:val="009D3FEB"/>
    <w:rPr>
      <w:b/>
      <w:bCs/>
    </w:rPr>
  </w:style>
  <w:style w:type="paragraph" w:styleId="Nessunaspaziatura">
    <w:name w:val="No Spacing"/>
    <w:basedOn w:val="Normale"/>
    <w:link w:val="NessunaspaziaturaCarattere"/>
    <w:semiHidden/>
    <w:qFormat/>
    <w:rsid w:val="009D3FEB"/>
    <w:rPr>
      <w:sz w:val="22"/>
    </w:rPr>
  </w:style>
  <w:style w:type="character" w:customStyle="1" w:styleId="NessunaspaziaturaCarattere">
    <w:name w:val="Nessuna spaziatura Carattere"/>
    <w:basedOn w:val="Carpredefinitoparagrafo"/>
    <w:link w:val="Nessunaspaziatura"/>
    <w:semiHidden/>
    <w:rsid w:val="009D3FEB"/>
    <w:rPr>
      <w:rFonts w:eastAsiaTheme="minorEastAsia"/>
    </w:rPr>
  </w:style>
  <w:style w:type="paragraph" w:customStyle="1" w:styleId="ECHRFooterLine">
    <w:name w:val="ECHR_Footer_Line"/>
    <w:aliases w:val="Footer_Line"/>
    <w:basedOn w:val="Normale"/>
    <w:next w:val="ECHRFooter"/>
    <w:uiPriority w:val="57"/>
    <w:semiHidden/>
    <w:rsid w:val="009D3FEB"/>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9D3FEB"/>
  </w:style>
  <w:style w:type="paragraph" w:customStyle="1" w:styleId="DecList">
    <w:name w:val="Dec_List"/>
    <w:basedOn w:val="Normale"/>
    <w:uiPriority w:val="9"/>
    <w:semiHidden/>
    <w:qFormat/>
    <w:rsid w:val="009D3FEB"/>
    <w:pPr>
      <w:spacing w:before="240"/>
      <w:ind w:left="284"/>
    </w:pPr>
  </w:style>
  <w:style w:type="paragraph" w:customStyle="1" w:styleId="JuParaSub">
    <w:name w:val="Ju_Para_Sub"/>
    <w:basedOn w:val="ECHRPara"/>
    <w:uiPriority w:val="13"/>
    <w:qFormat/>
    <w:rsid w:val="009D3FEB"/>
    <w:pPr>
      <w:ind w:left="284"/>
    </w:pPr>
  </w:style>
  <w:style w:type="paragraph" w:customStyle="1" w:styleId="ECHRTitleCentre3">
    <w:name w:val="ECHR_Title_Centre_3"/>
    <w:aliases w:val="Ju_H_Article"/>
    <w:basedOn w:val="Normale"/>
    <w:next w:val="ECHRParaQuote"/>
    <w:uiPriority w:val="27"/>
    <w:qFormat/>
    <w:rsid w:val="009D3FEB"/>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9D3FEB"/>
    <w:pPr>
      <w:keepNext/>
      <w:keepLines/>
      <w:spacing w:after="240"/>
      <w:jc w:val="center"/>
      <w:outlineLvl w:val="0"/>
    </w:pPr>
    <w:rPr>
      <w:rFonts w:asciiTheme="majorHAnsi" w:hAnsiTheme="majorHAnsi"/>
      <w:sz w:val="28"/>
    </w:rPr>
  </w:style>
  <w:style w:type="paragraph" w:customStyle="1" w:styleId="DummyStyle">
    <w:name w:val="Dummy_Style"/>
    <w:basedOn w:val="Normale"/>
    <w:semiHidden/>
    <w:qFormat/>
    <w:rsid w:val="009D3FEB"/>
    <w:rPr>
      <w:color w:val="00B050"/>
    </w:rPr>
  </w:style>
  <w:style w:type="paragraph" w:customStyle="1" w:styleId="JuAppQuestion">
    <w:name w:val="Ju_App_Question"/>
    <w:basedOn w:val="Normale"/>
    <w:uiPriority w:val="5"/>
    <w:semiHidden/>
    <w:qFormat/>
    <w:rsid w:val="009D3FEB"/>
    <w:pPr>
      <w:numPr>
        <w:numId w:val="26"/>
      </w:numPr>
      <w:jc w:val="left"/>
    </w:pPr>
    <w:rPr>
      <w:b/>
    </w:rPr>
  </w:style>
  <w:style w:type="paragraph" w:customStyle="1" w:styleId="JuCourt">
    <w:name w:val="Ju_Court"/>
    <w:basedOn w:val="Normale"/>
    <w:next w:val="Normale"/>
    <w:uiPriority w:val="16"/>
    <w:qFormat/>
    <w:rsid w:val="009D3FEB"/>
    <w:pPr>
      <w:tabs>
        <w:tab w:val="left" w:pos="907"/>
        <w:tab w:val="left" w:pos="1701"/>
        <w:tab w:val="right" w:pos="7371"/>
      </w:tabs>
      <w:spacing w:before="240"/>
      <w:ind w:left="397" w:hanging="397"/>
      <w:jc w:val="left"/>
    </w:pPr>
    <w:rPr>
      <w:lang w:bidi="en-US"/>
    </w:rPr>
  </w:style>
  <w:style w:type="paragraph" w:customStyle="1" w:styleId="ECHRTitleCentre2">
    <w:name w:val="ECHR_Title_Centre_2"/>
    <w:aliases w:val="Dec_H_Case"/>
    <w:basedOn w:val="Normale"/>
    <w:next w:val="ECHRPara"/>
    <w:uiPriority w:val="8"/>
    <w:qFormat/>
    <w:rsid w:val="009D3FEB"/>
    <w:pPr>
      <w:spacing w:after="240"/>
      <w:jc w:val="center"/>
      <w:outlineLvl w:val="0"/>
    </w:pPr>
    <w:rPr>
      <w:rFonts w:asciiTheme="majorHAnsi" w:hAnsiTheme="majorHAnsi"/>
    </w:rPr>
  </w:style>
  <w:style w:type="paragraph" w:customStyle="1" w:styleId="JuHeaderLandscape">
    <w:name w:val="Ju_Header_Landscape"/>
    <w:basedOn w:val="ECHRHeader"/>
    <w:uiPriority w:val="4"/>
    <w:qFormat/>
    <w:rsid w:val="009D3FEB"/>
    <w:pPr>
      <w:tabs>
        <w:tab w:val="clear" w:pos="3686"/>
        <w:tab w:val="clear" w:pos="7371"/>
        <w:tab w:val="center" w:pos="6146"/>
        <w:tab w:val="right" w:pos="12293"/>
      </w:tabs>
    </w:pPr>
  </w:style>
  <w:style w:type="paragraph" w:styleId="Titolo">
    <w:name w:val="Title"/>
    <w:basedOn w:val="Normale"/>
    <w:next w:val="Normale"/>
    <w:link w:val="TitoloCarattere"/>
    <w:uiPriority w:val="99"/>
    <w:semiHidden/>
    <w:qFormat/>
    <w:rsid w:val="009D3FEB"/>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9D3FEB"/>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Titolo3"/>
    <w:next w:val="ECHRPara"/>
    <w:uiPriority w:val="21"/>
    <w:qFormat/>
    <w:rsid w:val="009D3FEB"/>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Titolo4"/>
    <w:next w:val="ECHRPara"/>
    <w:uiPriority w:val="22"/>
    <w:qFormat/>
    <w:rsid w:val="009D3FEB"/>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9D3FEB"/>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Titolo6"/>
    <w:next w:val="ECHRPara"/>
    <w:uiPriority w:val="24"/>
    <w:qFormat/>
    <w:rsid w:val="009D3FEB"/>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Titolo7"/>
    <w:next w:val="ECHRPara"/>
    <w:uiPriority w:val="25"/>
    <w:qFormat/>
    <w:rsid w:val="009D3FEB"/>
    <w:pPr>
      <w:keepNext/>
      <w:keepLines/>
      <w:spacing w:before="240" w:after="120"/>
      <w:ind w:left="1236"/>
    </w:pPr>
    <w:rPr>
      <w:sz w:val="20"/>
    </w:rPr>
  </w:style>
  <w:style w:type="paragraph" w:customStyle="1" w:styleId="JuQuotSub">
    <w:name w:val="Ju_Quot_Sub"/>
    <w:basedOn w:val="ECHRParaQuote"/>
    <w:uiPriority w:val="15"/>
    <w:qFormat/>
    <w:rsid w:val="009D3FEB"/>
    <w:pPr>
      <w:ind w:left="567"/>
    </w:pPr>
  </w:style>
  <w:style w:type="paragraph" w:customStyle="1" w:styleId="JuInitialled">
    <w:name w:val="Ju_Initialled"/>
    <w:basedOn w:val="Normale"/>
    <w:uiPriority w:val="31"/>
    <w:qFormat/>
    <w:rsid w:val="009D3FEB"/>
    <w:pPr>
      <w:tabs>
        <w:tab w:val="center" w:pos="6407"/>
      </w:tabs>
      <w:spacing w:before="720"/>
      <w:jc w:val="right"/>
    </w:pPr>
  </w:style>
  <w:style w:type="character" w:customStyle="1" w:styleId="JuITMark">
    <w:name w:val="Ju_ITMark"/>
    <w:basedOn w:val="Carpredefinitoparagrafo"/>
    <w:uiPriority w:val="38"/>
    <w:qFormat/>
    <w:rsid w:val="009D3FEB"/>
    <w:rPr>
      <w:vanish w:val="0"/>
      <w:color w:val="auto"/>
      <w:sz w:val="14"/>
      <w:bdr w:val="none" w:sz="0" w:space="0" w:color="auto"/>
      <w:shd w:val="clear" w:color="auto" w:fill="BEE5FF" w:themeFill="background1" w:themeFillTint="33"/>
    </w:rPr>
  </w:style>
  <w:style w:type="paragraph" w:styleId="Intestazione">
    <w:name w:val="header"/>
    <w:basedOn w:val="Normale"/>
    <w:link w:val="IntestazioneCarattere"/>
    <w:uiPriority w:val="57"/>
    <w:semiHidden/>
    <w:rsid w:val="009D3FEB"/>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9D3FEB"/>
    <w:rPr>
      <w:sz w:val="24"/>
    </w:rPr>
  </w:style>
  <w:style w:type="character" w:customStyle="1" w:styleId="Titolo1Carattere">
    <w:name w:val="Titolo 1 Carattere"/>
    <w:basedOn w:val="Carpredefinitoparagrafo"/>
    <w:link w:val="Titolo1"/>
    <w:uiPriority w:val="99"/>
    <w:semiHidden/>
    <w:rsid w:val="009D3FEB"/>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Titolo1"/>
    <w:next w:val="ECHRPara"/>
    <w:uiPriority w:val="19"/>
    <w:qFormat/>
    <w:rsid w:val="009D3FEB"/>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9D3FEB"/>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9D3FEB"/>
    <w:rPr>
      <w:rFonts w:asciiTheme="majorHAnsi" w:eastAsiaTheme="majorEastAsia" w:hAnsiTheme="majorHAnsi" w:cstheme="majorBidi"/>
      <w:b/>
      <w:bCs/>
      <w:color w:val="4D4D4D"/>
      <w:sz w:val="26"/>
      <w:szCs w:val="26"/>
    </w:rPr>
  </w:style>
  <w:style w:type="character" w:customStyle="1" w:styleId="JUNAMES">
    <w:name w:val="JU_NAMES"/>
    <w:uiPriority w:val="17"/>
    <w:qFormat/>
    <w:rsid w:val="009D3FEB"/>
    <w:rPr>
      <w:caps w:val="0"/>
      <w:smallCaps/>
    </w:rPr>
  </w:style>
  <w:style w:type="paragraph" w:customStyle="1" w:styleId="ECHRDecisionBody">
    <w:name w:val="ECHR_Decision_Body"/>
    <w:aliases w:val="Ju_Judges"/>
    <w:basedOn w:val="Normale"/>
    <w:uiPriority w:val="11"/>
    <w:qFormat/>
    <w:rsid w:val="009D3FEB"/>
    <w:pPr>
      <w:tabs>
        <w:tab w:val="left" w:pos="567"/>
        <w:tab w:val="left" w:pos="1134"/>
      </w:tabs>
      <w:jc w:val="left"/>
    </w:pPr>
  </w:style>
  <w:style w:type="character" w:customStyle="1" w:styleId="Titolo3Carattere">
    <w:name w:val="Titolo 3 Carattere"/>
    <w:basedOn w:val="Carpredefinitoparagrafo"/>
    <w:link w:val="Titolo3"/>
    <w:uiPriority w:val="99"/>
    <w:semiHidden/>
    <w:rsid w:val="009D3FEB"/>
    <w:rPr>
      <w:rFonts w:asciiTheme="majorHAnsi" w:eastAsiaTheme="majorEastAsia" w:hAnsiTheme="majorHAnsi" w:cstheme="majorBidi"/>
      <w:b/>
      <w:bCs/>
      <w:color w:val="5F5F5F"/>
      <w:sz w:val="24"/>
    </w:rPr>
  </w:style>
  <w:style w:type="paragraph" w:customStyle="1" w:styleId="ECHRPara">
    <w:name w:val="ECHR_Para"/>
    <w:aliases w:val="Ju_Para"/>
    <w:basedOn w:val="Normale"/>
    <w:link w:val="ECHRParaChar"/>
    <w:uiPriority w:val="12"/>
    <w:qFormat/>
    <w:rsid w:val="009D3FEB"/>
    <w:pPr>
      <w:ind w:firstLine="284"/>
    </w:pPr>
  </w:style>
  <w:style w:type="character" w:customStyle="1" w:styleId="Titolo4Carattere">
    <w:name w:val="Titolo 4 Carattere"/>
    <w:basedOn w:val="Carpredefinitoparagrafo"/>
    <w:link w:val="Titolo4"/>
    <w:uiPriority w:val="99"/>
    <w:semiHidden/>
    <w:rsid w:val="009D3FEB"/>
    <w:rPr>
      <w:rFonts w:asciiTheme="majorHAnsi" w:eastAsiaTheme="majorEastAsia" w:hAnsiTheme="majorHAnsi" w:cstheme="majorBidi"/>
      <w:b/>
      <w:bCs/>
      <w:i/>
      <w:iCs/>
      <w:color w:val="777777"/>
      <w:sz w:val="24"/>
    </w:rPr>
  </w:style>
  <w:style w:type="character" w:customStyle="1" w:styleId="Titolo5Carattere">
    <w:name w:val="Titolo 5 Carattere"/>
    <w:basedOn w:val="Carpredefinitoparagrafo"/>
    <w:link w:val="Titolo5"/>
    <w:uiPriority w:val="99"/>
    <w:semiHidden/>
    <w:rsid w:val="009D3FEB"/>
    <w:rPr>
      <w:rFonts w:asciiTheme="majorHAnsi" w:eastAsiaTheme="majorEastAsia" w:hAnsiTheme="majorHAnsi" w:cstheme="majorBidi"/>
      <w:b/>
      <w:bCs/>
      <w:color w:val="808080"/>
    </w:rPr>
  </w:style>
  <w:style w:type="character" w:styleId="Enfasidelicata">
    <w:name w:val="Subtle Emphasis"/>
    <w:uiPriority w:val="99"/>
    <w:semiHidden/>
    <w:qFormat/>
    <w:rsid w:val="009D3FEB"/>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e"/>
    <w:next w:val="ECHRPara"/>
    <w:uiPriority w:val="18"/>
    <w:qFormat/>
    <w:rsid w:val="009D3FEB"/>
    <w:pPr>
      <w:keepNext/>
      <w:keepLines/>
      <w:spacing w:before="720" w:after="240"/>
      <w:outlineLvl w:val="0"/>
    </w:pPr>
    <w:rPr>
      <w:rFonts w:asciiTheme="majorHAnsi" w:hAnsiTheme="majorHAnsi"/>
      <w:sz w:val="28"/>
    </w:rPr>
  </w:style>
  <w:style w:type="character" w:styleId="Enfasicorsivo">
    <w:name w:val="Emphasis"/>
    <w:uiPriority w:val="99"/>
    <w:semiHidden/>
    <w:qFormat/>
    <w:rsid w:val="009D3FEB"/>
    <w:rPr>
      <w:b/>
      <w:bCs/>
      <w:i/>
      <w:iCs/>
      <w:spacing w:val="10"/>
      <w:bdr w:val="none" w:sz="0" w:space="0" w:color="auto"/>
      <w:shd w:val="clear" w:color="auto" w:fill="auto"/>
    </w:rPr>
  </w:style>
  <w:style w:type="paragraph" w:styleId="Pidipagina">
    <w:name w:val="footer"/>
    <w:basedOn w:val="Normale"/>
    <w:link w:val="PidipaginaCarattere"/>
    <w:uiPriority w:val="57"/>
    <w:semiHidden/>
    <w:rsid w:val="009D3FEB"/>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9D3FEB"/>
    <w:rPr>
      <w:sz w:val="24"/>
    </w:rPr>
  </w:style>
  <w:style w:type="character" w:styleId="Rimandonotaapidipagina">
    <w:name w:val="footnote reference"/>
    <w:basedOn w:val="Carpredefinitoparagrafo"/>
    <w:uiPriority w:val="99"/>
    <w:semiHidden/>
    <w:rsid w:val="009D3FEB"/>
    <w:rPr>
      <w:vertAlign w:val="superscript"/>
    </w:rPr>
  </w:style>
  <w:style w:type="paragraph" w:styleId="Testonotaapidipagina">
    <w:name w:val="footnote text"/>
    <w:basedOn w:val="Normale"/>
    <w:link w:val="TestonotaapidipaginaCarattere"/>
    <w:uiPriority w:val="99"/>
    <w:semiHidden/>
    <w:rsid w:val="009D3FEB"/>
    <w:rPr>
      <w:sz w:val="20"/>
      <w:szCs w:val="20"/>
    </w:rPr>
  </w:style>
  <w:style w:type="character" w:customStyle="1" w:styleId="TestonotaapidipaginaCarattere">
    <w:name w:val="Testo nota a piè di pagina Carattere"/>
    <w:basedOn w:val="Carpredefinitoparagrafo"/>
    <w:link w:val="Testonotaapidipagina"/>
    <w:uiPriority w:val="99"/>
    <w:semiHidden/>
    <w:rsid w:val="009D3FEB"/>
    <w:rPr>
      <w:rFonts w:eastAsiaTheme="minorEastAsia"/>
      <w:sz w:val="20"/>
      <w:szCs w:val="20"/>
    </w:rPr>
  </w:style>
  <w:style w:type="character" w:customStyle="1" w:styleId="Titolo6Carattere">
    <w:name w:val="Titolo 6 Carattere"/>
    <w:basedOn w:val="Carpredefinitoparagrafo"/>
    <w:link w:val="Titolo6"/>
    <w:uiPriority w:val="99"/>
    <w:semiHidden/>
    <w:rsid w:val="009D3FEB"/>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9D3FEB"/>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9D3FEB"/>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9D3FEB"/>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9D3FEB"/>
    <w:rPr>
      <w:color w:val="0072BC" w:themeColor="hyperlink"/>
      <w:u w:val="single"/>
    </w:rPr>
  </w:style>
  <w:style w:type="character" w:styleId="Enfasiintensa">
    <w:name w:val="Intense Emphasis"/>
    <w:uiPriority w:val="99"/>
    <w:semiHidden/>
    <w:qFormat/>
    <w:rsid w:val="009D3FEB"/>
    <w:rPr>
      <w:b/>
      <w:bCs/>
    </w:rPr>
  </w:style>
  <w:style w:type="paragraph" w:styleId="Citazioneintensa">
    <w:name w:val="Intense Quote"/>
    <w:basedOn w:val="Normale"/>
    <w:next w:val="Normale"/>
    <w:link w:val="CitazioneintensaCarattere"/>
    <w:uiPriority w:val="99"/>
    <w:semiHidden/>
    <w:qFormat/>
    <w:rsid w:val="009D3FEB"/>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9D3FEB"/>
    <w:rPr>
      <w:rFonts w:eastAsiaTheme="minorEastAsia"/>
      <w:b/>
      <w:bCs/>
      <w:i/>
      <w:iCs/>
      <w:lang w:bidi="en-US"/>
    </w:rPr>
  </w:style>
  <w:style w:type="character" w:styleId="Riferimentointenso">
    <w:name w:val="Intense Reference"/>
    <w:uiPriority w:val="99"/>
    <w:semiHidden/>
    <w:qFormat/>
    <w:rsid w:val="009D3FEB"/>
    <w:rPr>
      <w:smallCaps/>
      <w:spacing w:val="5"/>
      <w:u w:val="single"/>
    </w:rPr>
  </w:style>
  <w:style w:type="paragraph" w:styleId="Paragrafoelenco">
    <w:name w:val="List Paragraph"/>
    <w:basedOn w:val="Normale"/>
    <w:uiPriority w:val="99"/>
    <w:semiHidden/>
    <w:qFormat/>
    <w:rsid w:val="009D3FEB"/>
    <w:pPr>
      <w:ind w:left="720"/>
      <w:contextualSpacing/>
    </w:pPr>
  </w:style>
  <w:style w:type="table" w:customStyle="1" w:styleId="LtrTableAddress">
    <w:name w:val="Ltr_Table_Address"/>
    <w:basedOn w:val="Tabellanormale"/>
    <w:uiPriority w:val="99"/>
    <w:rsid w:val="001E6F32"/>
    <w:tblPr>
      <w:tblInd w:w="5103" w:type="dxa"/>
      <w:tblCellMar>
        <w:top w:w="0" w:type="dxa"/>
        <w:left w:w="108" w:type="dxa"/>
        <w:bottom w:w="0" w:type="dxa"/>
        <w:right w:w="108" w:type="dxa"/>
      </w:tblCellMar>
    </w:tblPr>
  </w:style>
  <w:style w:type="paragraph" w:styleId="Citazione">
    <w:name w:val="Quote"/>
    <w:basedOn w:val="Normale"/>
    <w:next w:val="Normale"/>
    <w:link w:val="CitazioneCarattere"/>
    <w:uiPriority w:val="99"/>
    <w:semiHidden/>
    <w:qFormat/>
    <w:rsid w:val="009D3FEB"/>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9D3FEB"/>
    <w:rPr>
      <w:rFonts w:eastAsiaTheme="minorEastAsia"/>
      <w:i/>
      <w:iCs/>
      <w:lang w:bidi="en-US"/>
    </w:rPr>
  </w:style>
  <w:style w:type="character" w:styleId="Riferimentodelicato">
    <w:name w:val="Subtle Reference"/>
    <w:uiPriority w:val="99"/>
    <w:semiHidden/>
    <w:qFormat/>
    <w:rsid w:val="009D3FEB"/>
    <w:rPr>
      <w:smallCaps/>
    </w:rPr>
  </w:style>
  <w:style w:type="table" w:styleId="Grigliatabella">
    <w:name w:val="Table Grid"/>
    <w:basedOn w:val="Tabellanormale"/>
    <w:uiPriority w:val="59"/>
    <w:semiHidden/>
    <w:rsid w:val="009D3FEB"/>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mmario1">
    <w:name w:val="toc 1"/>
    <w:basedOn w:val="Normale"/>
    <w:next w:val="Normale"/>
    <w:autoRedefine/>
    <w:uiPriority w:val="99"/>
    <w:semiHidden/>
    <w:rsid w:val="009D3FEB"/>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9D3FEB"/>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9D3FEB"/>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9D3FEB"/>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9D3FEB"/>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9D3FEB"/>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ellanormale"/>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9D3FEB"/>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e"/>
    <w:uiPriority w:val="14"/>
    <w:qFormat/>
    <w:rsid w:val="009D3FEB"/>
    <w:pPr>
      <w:spacing w:before="120" w:after="120"/>
      <w:ind w:left="425" w:firstLine="142"/>
    </w:pPr>
    <w:rPr>
      <w:sz w:val="20"/>
    </w:rPr>
  </w:style>
  <w:style w:type="table" w:customStyle="1" w:styleId="ECHRTableSimpleBox">
    <w:name w:val="ECHR_Table_Simple_Box"/>
    <w:basedOn w:val="Tabellanormale"/>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ellanormale"/>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9D3FEB"/>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ellanormale"/>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e"/>
    <w:next w:val="JuParaLast"/>
    <w:uiPriority w:val="32"/>
    <w:qFormat/>
    <w:rsid w:val="009D3FEB"/>
    <w:pPr>
      <w:tabs>
        <w:tab w:val="center" w:pos="851"/>
        <w:tab w:val="center" w:pos="6407"/>
      </w:tabs>
      <w:spacing w:before="720"/>
      <w:jc w:val="left"/>
    </w:pPr>
  </w:style>
  <w:style w:type="paragraph" w:customStyle="1" w:styleId="JuParaLast">
    <w:name w:val="Ju_Para_Last"/>
    <w:basedOn w:val="Normale"/>
    <w:next w:val="ECHRPara"/>
    <w:uiPriority w:val="30"/>
    <w:qFormat/>
    <w:rsid w:val="009D3FEB"/>
    <w:pPr>
      <w:keepNext/>
      <w:keepLines/>
      <w:spacing w:before="240"/>
      <w:ind w:firstLine="284"/>
    </w:pPr>
  </w:style>
  <w:style w:type="paragraph" w:customStyle="1" w:styleId="JuCase">
    <w:name w:val="Ju_Case"/>
    <w:basedOn w:val="Normale"/>
    <w:next w:val="ECHRPara"/>
    <w:uiPriority w:val="10"/>
    <w:rsid w:val="009D3FEB"/>
    <w:pPr>
      <w:ind w:firstLine="284"/>
    </w:pPr>
    <w:rPr>
      <w:b/>
    </w:rPr>
  </w:style>
  <w:style w:type="paragraph" w:customStyle="1" w:styleId="JuList">
    <w:name w:val="Ju_List"/>
    <w:basedOn w:val="Normale"/>
    <w:uiPriority w:val="28"/>
    <w:qFormat/>
    <w:rsid w:val="009D3FEB"/>
    <w:pPr>
      <w:ind w:left="340" w:hanging="340"/>
    </w:pPr>
  </w:style>
  <w:style w:type="paragraph" w:customStyle="1" w:styleId="JuTitle">
    <w:name w:val="Ju_Title"/>
    <w:basedOn w:val="Normale"/>
    <w:next w:val="ECHRPara"/>
    <w:uiPriority w:val="3"/>
    <w:semiHidden/>
    <w:qFormat/>
    <w:rsid w:val="009D3FEB"/>
    <w:pPr>
      <w:spacing w:before="720" w:after="240"/>
      <w:jc w:val="center"/>
      <w:outlineLvl w:val="0"/>
    </w:pPr>
    <w:rPr>
      <w:rFonts w:asciiTheme="majorHAnsi" w:hAnsiTheme="majorHAnsi"/>
      <w:b/>
      <w:caps/>
    </w:rPr>
  </w:style>
  <w:style w:type="character" w:styleId="Numeropagina">
    <w:name w:val="page number"/>
    <w:uiPriority w:val="99"/>
    <w:semiHidden/>
    <w:rsid w:val="00E77CB3"/>
    <w:rPr>
      <w:rFonts w:ascii="Times New Roman" w:hAnsi="Times New Roman" w:cs="Times New Roman"/>
      <w:sz w:val="18"/>
    </w:rPr>
  </w:style>
  <w:style w:type="paragraph" w:customStyle="1" w:styleId="JuLista">
    <w:name w:val="Ju_List_a"/>
    <w:basedOn w:val="JuList"/>
    <w:uiPriority w:val="28"/>
    <w:qFormat/>
    <w:rsid w:val="009D3FEB"/>
    <w:pPr>
      <w:ind w:left="346" w:firstLine="0"/>
    </w:pPr>
  </w:style>
  <w:style w:type="paragraph" w:customStyle="1" w:styleId="JuListi">
    <w:name w:val="Ju_List_i"/>
    <w:basedOn w:val="Normale"/>
    <w:next w:val="JuLista"/>
    <w:uiPriority w:val="28"/>
    <w:qFormat/>
    <w:rsid w:val="009D3FEB"/>
    <w:pPr>
      <w:ind w:left="794"/>
    </w:pPr>
  </w:style>
  <w:style w:type="character" w:styleId="Rimandocommento">
    <w:name w:val="annotation reference"/>
    <w:semiHidden/>
    <w:rsid w:val="00E77CB3"/>
    <w:rPr>
      <w:sz w:val="16"/>
    </w:rPr>
  </w:style>
  <w:style w:type="paragraph" w:styleId="Testocommento">
    <w:name w:val="annotation text"/>
    <w:basedOn w:val="Normale"/>
    <w:link w:val="TestocommentoCarattere"/>
    <w:semiHidden/>
    <w:rsid w:val="00E77CB3"/>
    <w:rPr>
      <w:sz w:val="20"/>
    </w:rPr>
  </w:style>
  <w:style w:type="character" w:customStyle="1" w:styleId="TestocommentoCarattere">
    <w:name w:val="Testo commento Carattere"/>
    <w:basedOn w:val="Carpredefinitoparagrafo"/>
    <w:link w:val="Testocommento"/>
    <w:uiPriority w:val="99"/>
    <w:semiHidden/>
    <w:rsid w:val="00E77CB3"/>
    <w:rPr>
      <w:rFonts w:eastAsiaTheme="minorEastAsia"/>
      <w:sz w:val="20"/>
    </w:rPr>
  </w:style>
  <w:style w:type="character" w:styleId="Rimandonotadichiusura">
    <w:name w:val="endnote reference"/>
    <w:uiPriority w:val="99"/>
    <w:semiHidden/>
    <w:rsid w:val="00E77CB3"/>
    <w:rPr>
      <w:rFonts w:ascii="Times New Roman" w:hAnsi="Times New Roman" w:cs="Times New Roman"/>
      <w:vertAlign w:val="superscript"/>
    </w:rPr>
  </w:style>
  <w:style w:type="paragraph" w:styleId="Testonotadichiusura">
    <w:name w:val="endnote text"/>
    <w:basedOn w:val="Normale"/>
    <w:link w:val="TestonotadichiusuraCarattere"/>
    <w:uiPriority w:val="99"/>
    <w:semiHidden/>
    <w:rsid w:val="00E77CB3"/>
    <w:rPr>
      <w:sz w:val="20"/>
    </w:rPr>
  </w:style>
  <w:style w:type="character" w:customStyle="1" w:styleId="TestonotadichiusuraCarattere">
    <w:name w:val="Testo nota di chiusura Carattere"/>
    <w:basedOn w:val="Carpredefinitoparagrafo"/>
    <w:link w:val="Testonotadichiusura"/>
    <w:uiPriority w:val="99"/>
    <w:semiHidden/>
    <w:rsid w:val="00E77CB3"/>
    <w:rPr>
      <w:rFonts w:eastAsiaTheme="minorEastAsia"/>
      <w:sz w:val="20"/>
    </w:rPr>
  </w:style>
  <w:style w:type="character" w:styleId="Collegamentovisitato">
    <w:name w:val="FollowedHyperlink"/>
    <w:uiPriority w:val="99"/>
    <w:semiHidden/>
    <w:rsid w:val="00E77CB3"/>
    <w:rPr>
      <w:rFonts w:ascii="Times New Roman" w:hAnsi="Times New Roman" w:cs="Times New Roman"/>
      <w:color w:val="800080"/>
      <w:u w:val="single"/>
    </w:rPr>
  </w:style>
  <w:style w:type="paragraph" w:styleId="Puntoelenco">
    <w:name w:val="List Bullet"/>
    <w:basedOn w:val="Normale"/>
    <w:uiPriority w:val="99"/>
    <w:semiHidden/>
    <w:rsid w:val="00E77CB3"/>
    <w:pPr>
      <w:numPr>
        <w:numId w:val="1"/>
      </w:numPr>
    </w:pPr>
  </w:style>
  <w:style w:type="paragraph" w:customStyle="1" w:styleId="OpiH1">
    <w:name w:val="Opi_H_1"/>
    <w:basedOn w:val="ECHRHeading2"/>
    <w:uiPriority w:val="42"/>
    <w:qFormat/>
    <w:rsid w:val="009D3FEB"/>
    <w:pPr>
      <w:ind w:left="635" w:hanging="357"/>
      <w:outlineLvl w:val="2"/>
    </w:pPr>
  </w:style>
  <w:style w:type="paragraph" w:styleId="Soggettocommento">
    <w:name w:val="annotation subject"/>
    <w:basedOn w:val="Testocommento"/>
    <w:next w:val="Testocommento"/>
    <w:link w:val="SoggettocommentoCarattere"/>
    <w:uiPriority w:val="99"/>
    <w:semiHidden/>
    <w:rsid w:val="00E77CB3"/>
    <w:rPr>
      <w:b/>
      <w:bCs/>
    </w:rPr>
  </w:style>
  <w:style w:type="character" w:customStyle="1" w:styleId="SoggettocommentoCarattere">
    <w:name w:val="Soggetto commento Carattere"/>
    <w:basedOn w:val="TestocommentoCarattere"/>
    <w:link w:val="Soggettocommento"/>
    <w:uiPriority w:val="99"/>
    <w:semiHidden/>
    <w:rsid w:val="00E77CB3"/>
    <w:rPr>
      <w:rFonts w:eastAsiaTheme="minorEastAsia"/>
      <w:b/>
      <w:bCs/>
      <w:sz w:val="20"/>
    </w:rPr>
  </w:style>
  <w:style w:type="paragraph" w:styleId="Mappadocumento">
    <w:name w:val="Document Map"/>
    <w:basedOn w:val="Normale"/>
    <w:link w:val="MappadocumentoCarattere"/>
    <w:uiPriority w:val="99"/>
    <w:semiHidden/>
    <w:rsid w:val="00E77CB3"/>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E77CB3"/>
    <w:rPr>
      <w:rFonts w:ascii="Tahoma" w:eastAsiaTheme="minorEastAsia" w:hAnsi="Tahoma" w:cs="Tahoma"/>
      <w:sz w:val="20"/>
      <w:shd w:val="clear" w:color="auto" w:fill="000080"/>
    </w:rPr>
  </w:style>
  <w:style w:type="paragraph" w:customStyle="1" w:styleId="OpiHa">
    <w:name w:val="Opi_H_a"/>
    <w:basedOn w:val="ECHRHeading3"/>
    <w:uiPriority w:val="43"/>
    <w:qFormat/>
    <w:rsid w:val="009D3FEB"/>
    <w:pPr>
      <w:ind w:left="833" w:hanging="357"/>
      <w:outlineLvl w:val="3"/>
    </w:pPr>
    <w:rPr>
      <w:b/>
      <w:i w:val="0"/>
      <w:sz w:val="20"/>
    </w:rPr>
  </w:style>
  <w:style w:type="paragraph" w:styleId="Sottotitolo">
    <w:name w:val="Subtitle"/>
    <w:basedOn w:val="Normale"/>
    <w:next w:val="Normale"/>
    <w:link w:val="SottotitoloCarattere"/>
    <w:uiPriority w:val="99"/>
    <w:semiHidden/>
    <w:qFormat/>
    <w:rsid w:val="009D3FEB"/>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9D3FEB"/>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E77CB3"/>
    <w:pPr>
      <w:numPr>
        <w:numId w:val="2"/>
      </w:numPr>
    </w:pPr>
  </w:style>
  <w:style w:type="numbering" w:styleId="1ai">
    <w:name w:val="Outline List 1"/>
    <w:basedOn w:val="Nessunelenco"/>
    <w:uiPriority w:val="99"/>
    <w:semiHidden/>
    <w:rsid w:val="00E77CB3"/>
    <w:pPr>
      <w:numPr>
        <w:numId w:val="3"/>
      </w:numPr>
    </w:pPr>
  </w:style>
  <w:style w:type="numbering" w:styleId="ArticoloSezione">
    <w:name w:val="Outline List 3"/>
    <w:basedOn w:val="Nessunelenco"/>
    <w:uiPriority w:val="99"/>
    <w:semiHidden/>
    <w:rsid w:val="00E77CB3"/>
    <w:pPr>
      <w:numPr>
        <w:numId w:val="4"/>
      </w:numPr>
    </w:pPr>
  </w:style>
  <w:style w:type="paragraph" w:styleId="Bibliografia">
    <w:name w:val="Bibliography"/>
    <w:basedOn w:val="Normale"/>
    <w:next w:val="Normale"/>
    <w:uiPriority w:val="99"/>
    <w:semiHidden/>
    <w:unhideWhenUsed/>
    <w:rsid w:val="00E77CB3"/>
  </w:style>
  <w:style w:type="paragraph" w:styleId="Testodelblocco">
    <w:name w:val="Block Text"/>
    <w:basedOn w:val="Normale"/>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rsid w:val="00E77CB3"/>
    <w:pPr>
      <w:spacing w:after="120"/>
    </w:pPr>
  </w:style>
  <w:style w:type="character" w:customStyle="1" w:styleId="CorpotestoCarattere">
    <w:name w:val="Corpo testo Carattere"/>
    <w:basedOn w:val="Carpredefinitoparagrafo"/>
    <w:link w:val="Corpotesto"/>
    <w:uiPriority w:val="99"/>
    <w:semiHidden/>
    <w:rsid w:val="00E77CB3"/>
    <w:rPr>
      <w:rFonts w:eastAsiaTheme="minorEastAsia"/>
      <w:sz w:val="24"/>
    </w:rPr>
  </w:style>
  <w:style w:type="paragraph" w:styleId="Corpodeltesto2">
    <w:name w:val="Body Text 2"/>
    <w:basedOn w:val="Normale"/>
    <w:link w:val="Corpodeltesto2Carattere"/>
    <w:uiPriority w:val="99"/>
    <w:semiHidden/>
    <w:rsid w:val="00E77CB3"/>
    <w:pPr>
      <w:spacing w:after="120" w:line="480" w:lineRule="auto"/>
    </w:pPr>
  </w:style>
  <w:style w:type="character" w:customStyle="1" w:styleId="Corpodeltesto2Carattere">
    <w:name w:val="Corpo del testo 2 Carattere"/>
    <w:basedOn w:val="Carpredefinitoparagrafo"/>
    <w:link w:val="Corpodeltesto2"/>
    <w:uiPriority w:val="99"/>
    <w:semiHidden/>
    <w:rsid w:val="00E77CB3"/>
    <w:rPr>
      <w:rFonts w:eastAsiaTheme="minorEastAsia"/>
      <w:sz w:val="24"/>
    </w:rPr>
  </w:style>
  <w:style w:type="paragraph" w:styleId="Corpodeltesto3">
    <w:name w:val="Body Text 3"/>
    <w:basedOn w:val="Normale"/>
    <w:link w:val="Corpodeltesto3Carattere"/>
    <w:uiPriority w:val="99"/>
    <w:semiHidden/>
    <w:rsid w:val="00E77CB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77CB3"/>
    <w:rPr>
      <w:rFonts w:eastAsiaTheme="minorEastAsia"/>
      <w:sz w:val="16"/>
      <w:szCs w:val="16"/>
    </w:rPr>
  </w:style>
  <w:style w:type="paragraph" w:styleId="Primorientrocorpodeltesto">
    <w:name w:val="Body Text First Indent"/>
    <w:basedOn w:val="Corpotesto"/>
    <w:link w:val="PrimorientrocorpodeltestoCarattere"/>
    <w:uiPriority w:val="99"/>
    <w:semiHidden/>
    <w:rsid w:val="00E77CB3"/>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77CB3"/>
    <w:rPr>
      <w:rFonts w:eastAsiaTheme="minorEastAsia"/>
      <w:sz w:val="24"/>
    </w:rPr>
  </w:style>
  <w:style w:type="paragraph" w:styleId="Rientrocorpodeltesto">
    <w:name w:val="Body Text Indent"/>
    <w:basedOn w:val="Normale"/>
    <w:link w:val="RientrocorpodeltestoCarattere"/>
    <w:uiPriority w:val="99"/>
    <w:semiHidden/>
    <w:rsid w:val="00E77CB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77CB3"/>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E77CB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77CB3"/>
    <w:rPr>
      <w:rFonts w:eastAsiaTheme="minorEastAsia"/>
      <w:sz w:val="24"/>
    </w:rPr>
  </w:style>
  <w:style w:type="paragraph" w:styleId="Rientrocorpodeltesto2">
    <w:name w:val="Body Text Indent 2"/>
    <w:basedOn w:val="Normale"/>
    <w:link w:val="Rientrocorpodeltesto2Carattere"/>
    <w:uiPriority w:val="99"/>
    <w:semiHidden/>
    <w:rsid w:val="00E77CB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77CB3"/>
    <w:rPr>
      <w:rFonts w:eastAsiaTheme="minorEastAsia"/>
      <w:sz w:val="24"/>
    </w:rPr>
  </w:style>
  <w:style w:type="paragraph" w:styleId="Rientrocorpodeltesto3">
    <w:name w:val="Body Text Indent 3"/>
    <w:basedOn w:val="Normale"/>
    <w:link w:val="Rientrocorpodeltesto3Carattere"/>
    <w:uiPriority w:val="99"/>
    <w:semiHidden/>
    <w:rsid w:val="00E77CB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77CB3"/>
    <w:rPr>
      <w:rFonts w:eastAsiaTheme="minorEastAsia"/>
      <w:sz w:val="16"/>
      <w:szCs w:val="16"/>
    </w:rPr>
  </w:style>
  <w:style w:type="paragraph" w:styleId="Didascalia">
    <w:name w:val="caption"/>
    <w:basedOn w:val="Normale"/>
    <w:next w:val="Normale"/>
    <w:uiPriority w:val="99"/>
    <w:semiHidden/>
    <w:qFormat/>
    <w:rsid w:val="00E77CB3"/>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E77CB3"/>
    <w:pPr>
      <w:ind w:left="4252"/>
    </w:pPr>
  </w:style>
  <w:style w:type="character" w:customStyle="1" w:styleId="FormuladichiusuraCarattere">
    <w:name w:val="Formula di chiusura Carattere"/>
    <w:basedOn w:val="Carpredefinitoparagrafo"/>
    <w:link w:val="Formuladichiusura"/>
    <w:uiPriority w:val="99"/>
    <w:semiHidden/>
    <w:rsid w:val="00E77CB3"/>
    <w:rPr>
      <w:rFonts w:eastAsiaTheme="minorEastAsia"/>
      <w:sz w:val="24"/>
    </w:rPr>
  </w:style>
  <w:style w:type="table" w:styleId="Grigliaacolori">
    <w:name w:val="Colorful Grid"/>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E77CB3"/>
  </w:style>
  <w:style w:type="character" w:customStyle="1" w:styleId="DataCarattere">
    <w:name w:val="Data Carattere"/>
    <w:basedOn w:val="Carpredefinitoparagrafo"/>
    <w:link w:val="Data"/>
    <w:uiPriority w:val="99"/>
    <w:semiHidden/>
    <w:rsid w:val="00E77CB3"/>
    <w:rPr>
      <w:rFonts w:eastAsiaTheme="minorEastAsia"/>
      <w:sz w:val="24"/>
    </w:rPr>
  </w:style>
  <w:style w:type="paragraph" w:styleId="Firmadipostaelettronica">
    <w:name w:val="E-mail Signature"/>
    <w:basedOn w:val="Normale"/>
    <w:link w:val="FirmadipostaelettronicaCarattere"/>
    <w:uiPriority w:val="99"/>
    <w:semiHidden/>
    <w:rsid w:val="00E77CB3"/>
  </w:style>
  <w:style w:type="character" w:customStyle="1" w:styleId="FirmadipostaelettronicaCarattere">
    <w:name w:val="Firma di posta elettronica Carattere"/>
    <w:basedOn w:val="Carpredefinitoparagrafo"/>
    <w:link w:val="Firmadipostaelettronica"/>
    <w:uiPriority w:val="99"/>
    <w:semiHidden/>
    <w:rsid w:val="00E77CB3"/>
    <w:rPr>
      <w:rFonts w:eastAsiaTheme="minorEastAsia"/>
      <w:sz w:val="24"/>
    </w:rPr>
  </w:style>
  <w:style w:type="paragraph" w:styleId="Indirizzodestinatario">
    <w:name w:val="envelope address"/>
    <w:basedOn w:val="Normale"/>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E77CB3"/>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E77CB3"/>
  </w:style>
  <w:style w:type="paragraph" w:styleId="IndirizzoHTML">
    <w:name w:val="HTML Address"/>
    <w:basedOn w:val="Normale"/>
    <w:link w:val="IndirizzoHTMLCarattere"/>
    <w:uiPriority w:val="99"/>
    <w:semiHidden/>
    <w:rsid w:val="00E77CB3"/>
    <w:rPr>
      <w:i/>
      <w:iCs/>
    </w:rPr>
  </w:style>
  <w:style w:type="character" w:customStyle="1" w:styleId="IndirizzoHTMLCarattere">
    <w:name w:val="Indirizzo HTML Carattere"/>
    <w:basedOn w:val="Carpredefinitoparagrafo"/>
    <w:link w:val="IndirizzoHTML"/>
    <w:uiPriority w:val="99"/>
    <w:semiHidden/>
    <w:rsid w:val="00E77CB3"/>
    <w:rPr>
      <w:rFonts w:eastAsiaTheme="minorEastAsia"/>
      <w:i/>
      <w:iCs/>
      <w:sz w:val="24"/>
    </w:rPr>
  </w:style>
  <w:style w:type="character" w:styleId="CitazioneHTML">
    <w:name w:val="HTML Cite"/>
    <w:basedOn w:val="Carpredefinitoparagrafo"/>
    <w:uiPriority w:val="99"/>
    <w:semiHidden/>
    <w:rsid w:val="00E77CB3"/>
    <w:rPr>
      <w:i/>
      <w:iCs/>
    </w:rPr>
  </w:style>
  <w:style w:type="character" w:styleId="CodiceHTML">
    <w:name w:val="HTML Code"/>
    <w:basedOn w:val="Carpredefinitoparagrafo"/>
    <w:uiPriority w:val="99"/>
    <w:semiHidden/>
    <w:rsid w:val="00E77CB3"/>
    <w:rPr>
      <w:rFonts w:ascii="Consolas" w:hAnsi="Consolas" w:cs="Consolas"/>
      <w:sz w:val="20"/>
      <w:szCs w:val="20"/>
    </w:rPr>
  </w:style>
  <w:style w:type="character" w:styleId="DefinizioneHTML">
    <w:name w:val="HTML Definition"/>
    <w:basedOn w:val="Carpredefinitoparagrafo"/>
    <w:uiPriority w:val="99"/>
    <w:semiHidden/>
    <w:rsid w:val="00E77CB3"/>
    <w:rPr>
      <w:i/>
      <w:iCs/>
    </w:rPr>
  </w:style>
  <w:style w:type="character" w:styleId="TastieraHTML">
    <w:name w:val="HTML Keyboard"/>
    <w:basedOn w:val="Carpredefinitoparagrafo"/>
    <w:uiPriority w:val="99"/>
    <w:semiHidden/>
    <w:rsid w:val="00E77CB3"/>
    <w:rPr>
      <w:rFonts w:ascii="Consolas" w:hAnsi="Consolas" w:cs="Consolas"/>
      <w:sz w:val="20"/>
      <w:szCs w:val="20"/>
    </w:rPr>
  </w:style>
  <w:style w:type="paragraph" w:styleId="PreformattatoHTML">
    <w:name w:val="HTML Preformatted"/>
    <w:basedOn w:val="Normale"/>
    <w:link w:val="PreformattatoHTMLCarattere"/>
    <w:uiPriority w:val="99"/>
    <w:semiHidden/>
    <w:rsid w:val="00E77CB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77CB3"/>
    <w:rPr>
      <w:rFonts w:ascii="Consolas" w:eastAsiaTheme="minorEastAsia" w:hAnsi="Consolas" w:cs="Consolas"/>
      <w:sz w:val="20"/>
      <w:szCs w:val="20"/>
    </w:rPr>
  </w:style>
  <w:style w:type="character" w:styleId="EsempioHTML">
    <w:name w:val="HTML Sample"/>
    <w:basedOn w:val="Carpredefinitoparagrafo"/>
    <w:uiPriority w:val="99"/>
    <w:semiHidden/>
    <w:rsid w:val="00E77CB3"/>
    <w:rPr>
      <w:rFonts w:ascii="Consolas" w:hAnsi="Consolas" w:cs="Consolas"/>
      <w:sz w:val="24"/>
      <w:szCs w:val="24"/>
    </w:rPr>
  </w:style>
  <w:style w:type="character" w:styleId="MacchinadascrivereHTML">
    <w:name w:val="HTML Typewriter"/>
    <w:basedOn w:val="Carpredefinitoparagrafo"/>
    <w:uiPriority w:val="99"/>
    <w:semiHidden/>
    <w:rsid w:val="00E77CB3"/>
    <w:rPr>
      <w:rFonts w:ascii="Consolas" w:hAnsi="Consolas" w:cs="Consolas"/>
      <w:sz w:val="20"/>
      <w:szCs w:val="20"/>
    </w:rPr>
  </w:style>
  <w:style w:type="character" w:styleId="VariabileHTML">
    <w:name w:val="HTML Variable"/>
    <w:basedOn w:val="Carpredefinitoparagrafo"/>
    <w:uiPriority w:val="99"/>
    <w:semiHidden/>
    <w:rsid w:val="00E77CB3"/>
    <w:rPr>
      <w:i/>
      <w:iCs/>
    </w:rPr>
  </w:style>
  <w:style w:type="paragraph" w:styleId="Indice1">
    <w:name w:val="index 1"/>
    <w:basedOn w:val="Normale"/>
    <w:next w:val="Normale"/>
    <w:autoRedefine/>
    <w:uiPriority w:val="99"/>
    <w:semiHidden/>
    <w:rsid w:val="00E77CB3"/>
    <w:pPr>
      <w:ind w:left="240" w:hanging="240"/>
    </w:pPr>
  </w:style>
  <w:style w:type="paragraph" w:styleId="Indice2">
    <w:name w:val="index 2"/>
    <w:basedOn w:val="Normale"/>
    <w:next w:val="Normale"/>
    <w:autoRedefine/>
    <w:uiPriority w:val="99"/>
    <w:semiHidden/>
    <w:rsid w:val="00E77CB3"/>
    <w:pPr>
      <w:ind w:left="480" w:hanging="240"/>
    </w:pPr>
  </w:style>
  <w:style w:type="paragraph" w:styleId="Indice3">
    <w:name w:val="index 3"/>
    <w:basedOn w:val="Normale"/>
    <w:next w:val="Normale"/>
    <w:autoRedefine/>
    <w:uiPriority w:val="99"/>
    <w:semiHidden/>
    <w:rsid w:val="00E77CB3"/>
    <w:pPr>
      <w:ind w:left="720" w:hanging="240"/>
    </w:pPr>
  </w:style>
  <w:style w:type="paragraph" w:styleId="Indice4">
    <w:name w:val="index 4"/>
    <w:basedOn w:val="Normale"/>
    <w:next w:val="Normale"/>
    <w:autoRedefine/>
    <w:uiPriority w:val="99"/>
    <w:semiHidden/>
    <w:rsid w:val="00E77CB3"/>
    <w:pPr>
      <w:ind w:left="960" w:hanging="240"/>
    </w:pPr>
  </w:style>
  <w:style w:type="paragraph" w:styleId="Indice5">
    <w:name w:val="index 5"/>
    <w:basedOn w:val="Normale"/>
    <w:next w:val="Normale"/>
    <w:autoRedefine/>
    <w:uiPriority w:val="99"/>
    <w:semiHidden/>
    <w:rsid w:val="00E77CB3"/>
    <w:pPr>
      <w:ind w:left="1200" w:hanging="240"/>
    </w:pPr>
  </w:style>
  <w:style w:type="paragraph" w:styleId="Indice6">
    <w:name w:val="index 6"/>
    <w:basedOn w:val="Normale"/>
    <w:next w:val="Normale"/>
    <w:autoRedefine/>
    <w:uiPriority w:val="99"/>
    <w:semiHidden/>
    <w:rsid w:val="00E77CB3"/>
    <w:pPr>
      <w:ind w:left="1440" w:hanging="240"/>
    </w:pPr>
  </w:style>
  <w:style w:type="paragraph" w:styleId="Indice7">
    <w:name w:val="index 7"/>
    <w:basedOn w:val="Normale"/>
    <w:next w:val="Normale"/>
    <w:autoRedefine/>
    <w:uiPriority w:val="99"/>
    <w:semiHidden/>
    <w:rsid w:val="00E77CB3"/>
    <w:pPr>
      <w:ind w:left="1680" w:hanging="240"/>
    </w:pPr>
  </w:style>
  <w:style w:type="paragraph" w:styleId="Indice8">
    <w:name w:val="index 8"/>
    <w:basedOn w:val="Normale"/>
    <w:next w:val="Normale"/>
    <w:autoRedefine/>
    <w:uiPriority w:val="99"/>
    <w:semiHidden/>
    <w:rsid w:val="00E77CB3"/>
    <w:pPr>
      <w:ind w:left="1920" w:hanging="240"/>
    </w:pPr>
  </w:style>
  <w:style w:type="paragraph" w:styleId="Indice9">
    <w:name w:val="index 9"/>
    <w:basedOn w:val="Normale"/>
    <w:next w:val="Normale"/>
    <w:autoRedefine/>
    <w:uiPriority w:val="99"/>
    <w:semiHidden/>
    <w:rsid w:val="00E77CB3"/>
    <w:pPr>
      <w:ind w:left="2160" w:hanging="240"/>
    </w:pPr>
  </w:style>
  <w:style w:type="paragraph" w:styleId="Titoloindice">
    <w:name w:val="index heading"/>
    <w:basedOn w:val="Normale"/>
    <w:next w:val="Indice1"/>
    <w:uiPriority w:val="99"/>
    <w:semiHidden/>
    <w:rsid w:val="00E77CB3"/>
    <w:rPr>
      <w:rFonts w:asciiTheme="majorHAnsi" w:eastAsiaTheme="majorEastAsia" w:hAnsiTheme="majorHAnsi" w:cstheme="majorBidi"/>
      <w:b/>
      <w:bCs/>
    </w:rPr>
  </w:style>
  <w:style w:type="table" w:styleId="Grigliachiara">
    <w:name w:val="Light Grid"/>
    <w:basedOn w:val="Tabellanormale"/>
    <w:uiPriority w:val="99"/>
    <w:semiHidden/>
    <w:rsid w:val="00E77CB3"/>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E77CB3"/>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E77CB3"/>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E77CB3"/>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E77CB3"/>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E77CB3"/>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E77CB3"/>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E77CB3"/>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E77CB3"/>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E77CB3"/>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E77CB3"/>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E77CB3"/>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E77CB3"/>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E77CB3"/>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E77CB3"/>
    <w:rPr>
      <w:color w:val="000000" w:themeColor="text1" w:themeShade="BF"/>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E77CB3"/>
    <w:rPr>
      <w:color w:val="00548C" w:themeColor="accent1" w:themeShade="BF"/>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E77CB3"/>
    <w:rPr>
      <w:color w:val="8F0000" w:themeColor="accent2" w:themeShade="BF"/>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E77CB3"/>
    <w:rPr>
      <w:color w:val="474747" w:themeColor="accent3" w:themeShade="BF"/>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E77CB3"/>
    <w:rPr>
      <w:color w:val="707070" w:themeColor="accent4" w:themeShade="BF"/>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E77CB3"/>
    <w:rPr>
      <w:color w:val="474747" w:themeColor="accent5" w:themeShade="BF"/>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E77CB3"/>
    <w:rPr>
      <w:color w:val="393939" w:themeColor="accent6" w:themeShade="BF"/>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E77CB3"/>
  </w:style>
  <w:style w:type="paragraph" w:styleId="Elenco">
    <w:name w:val="List"/>
    <w:basedOn w:val="Normale"/>
    <w:uiPriority w:val="99"/>
    <w:semiHidden/>
    <w:rsid w:val="00E77CB3"/>
    <w:pPr>
      <w:ind w:left="283" w:hanging="283"/>
      <w:contextualSpacing/>
    </w:pPr>
  </w:style>
  <w:style w:type="paragraph" w:styleId="Elenco2">
    <w:name w:val="List 2"/>
    <w:basedOn w:val="Normale"/>
    <w:uiPriority w:val="99"/>
    <w:semiHidden/>
    <w:rsid w:val="00E77CB3"/>
    <w:pPr>
      <w:ind w:left="566" w:hanging="283"/>
      <w:contextualSpacing/>
    </w:pPr>
  </w:style>
  <w:style w:type="paragraph" w:styleId="Elenco3">
    <w:name w:val="List 3"/>
    <w:basedOn w:val="Normale"/>
    <w:uiPriority w:val="99"/>
    <w:semiHidden/>
    <w:rsid w:val="00E77CB3"/>
    <w:pPr>
      <w:ind w:left="849" w:hanging="283"/>
      <w:contextualSpacing/>
    </w:pPr>
  </w:style>
  <w:style w:type="paragraph" w:styleId="Elenco4">
    <w:name w:val="List 4"/>
    <w:basedOn w:val="Normale"/>
    <w:uiPriority w:val="99"/>
    <w:semiHidden/>
    <w:rsid w:val="00E77CB3"/>
    <w:pPr>
      <w:ind w:left="1132" w:hanging="283"/>
      <w:contextualSpacing/>
    </w:pPr>
  </w:style>
  <w:style w:type="paragraph" w:styleId="Elenco5">
    <w:name w:val="List 5"/>
    <w:basedOn w:val="Normale"/>
    <w:uiPriority w:val="99"/>
    <w:semiHidden/>
    <w:rsid w:val="00E77CB3"/>
    <w:pPr>
      <w:ind w:left="1415" w:hanging="283"/>
      <w:contextualSpacing/>
    </w:pPr>
  </w:style>
  <w:style w:type="paragraph" w:styleId="Puntoelenco2">
    <w:name w:val="List Bullet 2"/>
    <w:basedOn w:val="Normale"/>
    <w:uiPriority w:val="99"/>
    <w:semiHidden/>
    <w:rsid w:val="00E77CB3"/>
    <w:pPr>
      <w:numPr>
        <w:numId w:val="5"/>
      </w:numPr>
      <w:contextualSpacing/>
    </w:pPr>
  </w:style>
  <w:style w:type="paragraph" w:styleId="Puntoelenco3">
    <w:name w:val="List Bullet 3"/>
    <w:basedOn w:val="Normale"/>
    <w:uiPriority w:val="99"/>
    <w:semiHidden/>
    <w:rsid w:val="00E77CB3"/>
    <w:pPr>
      <w:numPr>
        <w:numId w:val="6"/>
      </w:numPr>
      <w:contextualSpacing/>
    </w:pPr>
  </w:style>
  <w:style w:type="paragraph" w:styleId="Puntoelenco4">
    <w:name w:val="List Bullet 4"/>
    <w:basedOn w:val="Normale"/>
    <w:uiPriority w:val="99"/>
    <w:semiHidden/>
    <w:rsid w:val="00E77CB3"/>
    <w:pPr>
      <w:numPr>
        <w:numId w:val="7"/>
      </w:numPr>
      <w:contextualSpacing/>
    </w:pPr>
  </w:style>
  <w:style w:type="paragraph" w:styleId="Puntoelenco5">
    <w:name w:val="List Bullet 5"/>
    <w:basedOn w:val="Normale"/>
    <w:uiPriority w:val="99"/>
    <w:semiHidden/>
    <w:rsid w:val="00E77CB3"/>
    <w:pPr>
      <w:numPr>
        <w:numId w:val="8"/>
      </w:numPr>
      <w:contextualSpacing/>
    </w:pPr>
  </w:style>
  <w:style w:type="paragraph" w:styleId="Elencocontinua">
    <w:name w:val="List Continue"/>
    <w:basedOn w:val="Normale"/>
    <w:uiPriority w:val="99"/>
    <w:semiHidden/>
    <w:rsid w:val="00E77CB3"/>
    <w:pPr>
      <w:spacing w:after="120"/>
      <w:ind w:left="283"/>
      <w:contextualSpacing/>
    </w:pPr>
  </w:style>
  <w:style w:type="paragraph" w:styleId="Elencocontinua2">
    <w:name w:val="List Continue 2"/>
    <w:basedOn w:val="Normale"/>
    <w:uiPriority w:val="99"/>
    <w:semiHidden/>
    <w:rsid w:val="00E77CB3"/>
    <w:pPr>
      <w:spacing w:after="120"/>
      <w:ind w:left="566"/>
      <w:contextualSpacing/>
    </w:pPr>
  </w:style>
  <w:style w:type="paragraph" w:styleId="Elencocontinua3">
    <w:name w:val="List Continue 3"/>
    <w:basedOn w:val="Normale"/>
    <w:uiPriority w:val="99"/>
    <w:semiHidden/>
    <w:rsid w:val="00E77CB3"/>
    <w:pPr>
      <w:spacing w:after="120"/>
      <w:ind w:left="849"/>
      <w:contextualSpacing/>
    </w:pPr>
  </w:style>
  <w:style w:type="paragraph" w:styleId="Elencocontinua4">
    <w:name w:val="List Continue 4"/>
    <w:basedOn w:val="Normale"/>
    <w:uiPriority w:val="99"/>
    <w:semiHidden/>
    <w:rsid w:val="00E77CB3"/>
    <w:pPr>
      <w:spacing w:after="120"/>
      <w:ind w:left="1132"/>
      <w:contextualSpacing/>
    </w:pPr>
  </w:style>
  <w:style w:type="paragraph" w:styleId="Elencocontinua5">
    <w:name w:val="List Continue 5"/>
    <w:basedOn w:val="Normale"/>
    <w:uiPriority w:val="99"/>
    <w:semiHidden/>
    <w:rsid w:val="00E77CB3"/>
    <w:pPr>
      <w:spacing w:after="120"/>
      <w:ind w:left="1415"/>
      <w:contextualSpacing/>
    </w:pPr>
  </w:style>
  <w:style w:type="paragraph" w:styleId="Numeroelenco">
    <w:name w:val="List Number"/>
    <w:basedOn w:val="Normale"/>
    <w:uiPriority w:val="99"/>
    <w:semiHidden/>
    <w:rsid w:val="00E77CB3"/>
    <w:pPr>
      <w:numPr>
        <w:numId w:val="9"/>
      </w:numPr>
      <w:contextualSpacing/>
    </w:pPr>
  </w:style>
  <w:style w:type="paragraph" w:styleId="Numeroelenco2">
    <w:name w:val="List Number 2"/>
    <w:basedOn w:val="Normale"/>
    <w:uiPriority w:val="99"/>
    <w:semiHidden/>
    <w:rsid w:val="00E77CB3"/>
    <w:pPr>
      <w:numPr>
        <w:numId w:val="10"/>
      </w:numPr>
      <w:contextualSpacing/>
    </w:pPr>
  </w:style>
  <w:style w:type="paragraph" w:styleId="Numeroelenco3">
    <w:name w:val="List Number 3"/>
    <w:basedOn w:val="Normale"/>
    <w:uiPriority w:val="99"/>
    <w:semiHidden/>
    <w:rsid w:val="00E77CB3"/>
    <w:pPr>
      <w:numPr>
        <w:numId w:val="11"/>
      </w:numPr>
      <w:contextualSpacing/>
    </w:pPr>
  </w:style>
  <w:style w:type="paragraph" w:styleId="Numeroelenco4">
    <w:name w:val="List Number 4"/>
    <w:basedOn w:val="Normale"/>
    <w:uiPriority w:val="99"/>
    <w:semiHidden/>
    <w:rsid w:val="00E77CB3"/>
    <w:pPr>
      <w:numPr>
        <w:numId w:val="12"/>
      </w:numPr>
      <w:contextualSpacing/>
    </w:pPr>
  </w:style>
  <w:style w:type="paragraph" w:styleId="Numeroelenco5">
    <w:name w:val="List Number 5"/>
    <w:basedOn w:val="Normale"/>
    <w:uiPriority w:val="99"/>
    <w:semiHidden/>
    <w:rsid w:val="00E77CB3"/>
    <w:pPr>
      <w:numPr>
        <w:numId w:val="13"/>
      </w:numPr>
      <w:contextualSpacing/>
    </w:pPr>
  </w:style>
  <w:style w:type="paragraph" w:styleId="Testomacro">
    <w:name w:val="macro"/>
    <w:link w:val="TestomacroCarattere"/>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77CB3"/>
    <w:rPr>
      <w:rFonts w:ascii="Consolas" w:eastAsiaTheme="minorEastAsia" w:hAnsi="Consolas" w:cs="Consolas"/>
      <w:sz w:val="20"/>
      <w:szCs w:val="20"/>
    </w:rPr>
  </w:style>
  <w:style w:type="table" w:styleId="Grigliamedia1">
    <w:name w:val="Medium Grid 1"/>
    <w:basedOn w:val="Tabellanormale"/>
    <w:uiPriority w:val="99"/>
    <w:semiHidden/>
    <w:rsid w:val="00E77CB3"/>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E77CB3"/>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E77CB3"/>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E77CB3"/>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E77CB3"/>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E77CB3"/>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E77CB3"/>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E77CB3"/>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E77CB3"/>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E77CB3"/>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E77CB3"/>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E77CB3"/>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E77CB3"/>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E77CB3"/>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E77CB3"/>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E77CB3"/>
    <w:rPr>
      <w:rFonts w:ascii="Times New Roman" w:hAnsi="Times New Roman" w:cs="Times New Roman"/>
      <w:szCs w:val="24"/>
    </w:rPr>
  </w:style>
  <w:style w:type="paragraph" w:styleId="Rientronormale">
    <w:name w:val="Normal Indent"/>
    <w:basedOn w:val="Normale"/>
    <w:uiPriority w:val="99"/>
    <w:semiHidden/>
    <w:rsid w:val="00E77CB3"/>
    <w:pPr>
      <w:ind w:left="720"/>
    </w:pPr>
  </w:style>
  <w:style w:type="paragraph" w:styleId="Intestazionenota">
    <w:name w:val="Note Heading"/>
    <w:basedOn w:val="Normale"/>
    <w:next w:val="Normale"/>
    <w:link w:val="IntestazionenotaCarattere"/>
    <w:uiPriority w:val="99"/>
    <w:semiHidden/>
    <w:rsid w:val="00E77CB3"/>
  </w:style>
  <w:style w:type="character" w:customStyle="1" w:styleId="IntestazionenotaCarattere">
    <w:name w:val="Intestazione nota Carattere"/>
    <w:basedOn w:val="Carpredefinitoparagrafo"/>
    <w:link w:val="Intestazionenota"/>
    <w:uiPriority w:val="99"/>
    <w:semiHidden/>
    <w:rsid w:val="00E77CB3"/>
    <w:rPr>
      <w:rFonts w:eastAsiaTheme="minorEastAsia"/>
      <w:sz w:val="24"/>
    </w:rPr>
  </w:style>
  <w:style w:type="character" w:styleId="Testosegnaposto">
    <w:name w:val="Placeholder Text"/>
    <w:basedOn w:val="Carpredefinitoparagrafo"/>
    <w:uiPriority w:val="99"/>
    <w:semiHidden/>
    <w:rsid w:val="009D3FEB"/>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E77CB3"/>
    <w:rPr>
      <w:rFonts w:ascii="Consolas" w:hAnsi="Consolas" w:cs="Consolas"/>
      <w:sz w:val="21"/>
      <w:szCs w:val="21"/>
    </w:rPr>
  </w:style>
  <w:style w:type="character" w:customStyle="1" w:styleId="TestonormaleCarattere">
    <w:name w:val="Testo normale Carattere"/>
    <w:basedOn w:val="Carpredefinitoparagrafo"/>
    <w:link w:val="Testonormale"/>
    <w:uiPriority w:val="99"/>
    <w:rsid w:val="00E77CB3"/>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E77CB3"/>
  </w:style>
  <w:style w:type="character" w:customStyle="1" w:styleId="FormuladiaperturaCarattere">
    <w:name w:val="Formula di apertura Carattere"/>
    <w:basedOn w:val="Carpredefinitoparagrafo"/>
    <w:link w:val="Formuladiapertura"/>
    <w:uiPriority w:val="99"/>
    <w:semiHidden/>
    <w:rsid w:val="00E77CB3"/>
    <w:rPr>
      <w:rFonts w:eastAsiaTheme="minorEastAsia"/>
      <w:sz w:val="24"/>
    </w:rPr>
  </w:style>
  <w:style w:type="paragraph" w:styleId="Firma">
    <w:name w:val="Signature"/>
    <w:basedOn w:val="Normale"/>
    <w:link w:val="FirmaCarattere"/>
    <w:uiPriority w:val="99"/>
    <w:semiHidden/>
    <w:rsid w:val="00E77CB3"/>
    <w:pPr>
      <w:ind w:left="4252"/>
    </w:pPr>
  </w:style>
  <w:style w:type="character" w:customStyle="1" w:styleId="FirmaCarattere">
    <w:name w:val="Firma Carattere"/>
    <w:basedOn w:val="Carpredefinitoparagrafo"/>
    <w:link w:val="Firma"/>
    <w:uiPriority w:val="99"/>
    <w:semiHidden/>
    <w:rsid w:val="00E77CB3"/>
    <w:rPr>
      <w:rFonts w:eastAsiaTheme="minorEastAsia"/>
      <w:sz w:val="24"/>
    </w:rPr>
  </w:style>
  <w:style w:type="table" w:styleId="Tabellaeffetti3D1">
    <w:name w:val="Table 3D effects 1"/>
    <w:basedOn w:val="Tabellanormale"/>
    <w:uiPriority w:val="99"/>
    <w:semiHidden/>
    <w:rsid w:val="00E77CB3"/>
    <w:pPr>
      <w:jc w:val="both"/>
    </w:pPr>
    <w:rPr>
      <w:lang w:val="fr-FR" w:eastAsia="fr-FR"/>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E77CB3"/>
    <w:pPr>
      <w:jc w:val="both"/>
    </w:pPr>
    <w:rPr>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E77CB3"/>
    <w:pPr>
      <w:jc w:val="both"/>
    </w:pPr>
    <w:rPr>
      <w:lang w:val="fr-FR" w:eastAsia="fr-FR"/>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E77CB3"/>
    <w:pPr>
      <w:jc w:val="both"/>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E77CB3"/>
    <w:pPr>
      <w:jc w:val="both"/>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E77CB3"/>
    <w:pPr>
      <w:jc w:val="both"/>
    </w:pPr>
    <w:rPr>
      <w:color w:val="00008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E77CB3"/>
    <w:pPr>
      <w:jc w:val="both"/>
    </w:pPr>
    <w:rPr>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E77CB3"/>
    <w:pPr>
      <w:jc w:val="both"/>
    </w:pPr>
    <w:rPr>
      <w:color w:val="FFFFFF"/>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E77CB3"/>
    <w:pPr>
      <w:jc w:val="both"/>
    </w:pPr>
    <w:rPr>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E77CB3"/>
    <w:pPr>
      <w:jc w:val="both"/>
    </w:pPr>
    <w:rPr>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E77CB3"/>
    <w:pPr>
      <w:jc w:val="both"/>
    </w:pPr>
    <w:rPr>
      <w:b/>
      <w:bCs/>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E77CB3"/>
    <w:pPr>
      <w:jc w:val="both"/>
    </w:pPr>
    <w:rPr>
      <w:b/>
      <w:bCs/>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E77CB3"/>
    <w:pPr>
      <w:jc w:val="both"/>
    </w:pPr>
    <w:rPr>
      <w:b/>
      <w:bCs/>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E77CB3"/>
    <w:pPr>
      <w:jc w:val="both"/>
    </w:pPr>
    <w:rPr>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E77CB3"/>
    <w:pPr>
      <w:jc w:val="both"/>
    </w:pPr>
    <w:rPr>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E77CB3"/>
    <w:pPr>
      <w:jc w:val="both"/>
    </w:pPr>
    <w:rPr>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E77CB3"/>
    <w:pPr>
      <w:jc w:val="both"/>
    </w:pPr>
    <w:rPr>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rsid w:val="00E77CB3"/>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rsid w:val="00E77CB3"/>
    <w:pPr>
      <w:jc w:val="both"/>
    </w:pPr>
    <w:rPr>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rsid w:val="00E77CB3"/>
    <w:pPr>
      <w:jc w:val="both"/>
    </w:pPr>
    <w:rPr>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rsid w:val="00E77CB3"/>
    <w:pPr>
      <w:jc w:val="both"/>
    </w:pPr>
    <w:rPr>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rsid w:val="00E77CB3"/>
    <w:pPr>
      <w:jc w:val="both"/>
    </w:pPr>
    <w:rPr>
      <w:b/>
      <w:bCs/>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rsid w:val="00E77CB3"/>
    <w:pPr>
      <w:jc w:val="both"/>
    </w:pPr>
    <w:rPr>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rsid w:val="00E77CB3"/>
    <w:pPr>
      <w:jc w:val="both"/>
    </w:pPr>
    <w:rPr>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rsid w:val="00E77CB3"/>
    <w:pPr>
      <w:jc w:val="both"/>
    </w:pPr>
    <w:rPr>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rsid w:val="00E77CB3"/>
    <w:pPr>
      <w:jc w:val="both"/>
    </w:pPr>
    <w:rPr>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rsid w:val="00E77CB3"/>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rsid w:val="00E77CB3"/>
    <w:pPr>
      <w:jc w:val="both"/>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rsid w:val="00E77CB3"/>
    <w:pPr>
      <w:jc w:val="both"/>
    </w:pPr>
    <w:rPr>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rsid w:val="00E77CB3"/>
    <w:pPr>
      <w:jc w:val="both"/>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E77CB3"/>
    <w:pPr>
      <w:ind w:left="240" w:hanging="240"/>
    </w:pPr>
  </w:style>
  <w:style w:type="paragraph" w:styleId="Indicedellefigure">
    <w:name w:val="table of figures"/>
    <w:basedOn w:val="Normale"/>
    <w:next w:val="Normale"/>
    <w:uiPriority w:val="99"/>
    <w:semiHidden/>
    <w:rsid w:val="00E77CB3"/>
  </w:style>
  <w:style w:type="table" w:styleId="Tabellaprofessionale">
    <w:name w:val="Table Professional"/>
    <w:basedOn w:val="Tabellanormale"/>
    <w:uiPriority w:val="99"/>
    <w:semiHidden/>
    <w:rsid w:val="00E77CB3"/>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E77CB3"/>
    <w:pPr>
      <w:jc w:val="both"/>
    </w:pPr>
    <w:rPr>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E77CB3"/>
    <w:pPr>
      <w:jc w:val="both"/>
    </w:pPr>
    <w:rPr>
      <w:lang w:val="fr-FR" w:eastAsia="fr-FR"/>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E77CB3"/>
    <w:pPr>
      <w:jc w:val="both"/>
    </w:pPr>
    <w:rPr>
      <w:lang w:val="fr-FR" w:eastAsia="fr-F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E77CB3"/>
    <w:pPr>
      <w:jc w:val="both"/>
    </w:pPr>
    <w:rPr>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E77CB3"/>
    <w:pPr>
      <w:jc w:val="both"/>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aWeb1">
    <w:name w:val="Table Web 1"/>
    <w:basedOn w:val="Tabellanormale"/>
    <w:uiPriority w:val="99"/>
    <w:semiHidden/>
    <w:rsid w:val="00E77CB3"/>
    <w:pPr>
      <w:jc w:val="both"/>
    </w:pPr>
    <w:rPr>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E77CB3"/>
    <w:pPr>
      <w:jc w:val="both"/>
    </w:pPr>
    <w:rPr>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E77CB3"/>
    <w:pPr>
      <w:jc w:val="both"/>
    </w:pPr>
    <w:rPr>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9D3FEB"/>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9D3FEB"/>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E77CB3"/>
    <w:pPr>
      <w:spacing w:after="100"/>
      <w:ind w:left="1680"/>
    </w:pPr>
  </w:style>
  <w:style w:type="paragraph" w:styleId="Sommario9">
    <w:name w:val="toc 9"/>
    <w:basedOn w:val="Normale"/>
    <w:next w:val="Normale"/>
    <w:autoRedefine/>
    <w:uiPriority w:val="99"/>
    <w:semiHidden/>
    <w:rsid w:val="00E77CB3"/>
    <w:pPr>
      <w:spacing w:after="100"/>
      <w:ind w:left="1920"/>
    </w:pPr>
  </w:style>
  <w:style w:type="paragraph" w:customStyle="1" w:styleId="OpiHA0">
    <w:name w:val="Opi_H_A"/>
    <w:basedOn w:val="ECHRHeading1"/>
    <w:next w:val="OpiPara"/>
    <w:uiPriority w:val="41"/>
    <w:qFormat/>
    <w:rsid w:val="009D3FEB"/>
    <w:pPr>
      <w:tabs>
        <w:tab w:val="clear" w:pos="357"/>
      </w:tabs>
      <w:outlineLvl w:val="1"/>
    </w:pPr>
    <w:rPr>
      <w:b/>
    </w:rPr>
  </w:style>
  <w:style w:type="paragraph" w:customStyle="1" w:styleId="OpiHi">
    <w:name w:val="Opi_H_i"/>
    <w:basedOn w:val="ECHRHeading4"/>
    <w:uiPriority w:val="44"/>
    <w:qFormat/>
    <w:rsid w:val="009D3FEB"/>
    <w:pPr>
      <w:ind w:left="1037" w:hanging="357"/>
      <w:outlineLvl w:val="4"/>
    </w:pPr>
    <w:rPr>
      <w:b w:val="0"/>
      <w:i/>
    </w:rPr>
  </w:style>
  <w:style w:type="paragraph" w:customStyle="1" w:styleId="OpiPara">
    <w:name w:val="Opi_Para"/>
    <w:basedOn w:val="ECHRPara"/>
    <w:uiPriority w:val="46"/>
    <w:qFormat/>
    <w:rsid w:val="009D3FEB"/>
  </w:style>
  <w:style w:type="paragraph" w:customStyle="1" w:styleId="OpiParaSub">
    <w:name w:val="Opi_Para_Sub"/>
    <w:basedOn w:val="JuParaSub"/>
    <w:uiPriority w:val="47"/>
    <w:qFormat/>
    <w:rsid w:val="009D3FEB"/>
  </w:style>
  <w:style w:type="paragraph" w:customStyle="1" w:styleId="OpiQuot">
    <w:name w:val="Opi_Quot"/>
    <w:basedOn w:val="ECHRParaQuote"/>
    <w:uiPriority w:val="48"/>
    <w:qFormat/>
    <w:rsid w:val="009D3FEB"/>
  </w:style>
  <w:style w:type="paragraph" w:customStyle="1" w:styleId="OpiQuotSub">
    <w:name w:val="Opi_Quot_Sub"/>
    <w:basedOn w:val="JuQuotSub"/>
    <w:uiPriority w:val="49"/>
    <w:qFormat/>
    <w:rsid w:val="009D3FEB"/>
  </w:style>
  <w:style w:type="paragraph" w:customStyle="1" w:styleId="OpiTranslation">
    <w:name w:val="Opi_Translation"/>
    <w:basedOn w:val="Normale"/>
    <w:next w:val="OpiPara"/>
    <w:uiPriority w:val="40"/>
    <w:qFormat/>
    <w:rsid w:val="009D3FEB"/>
    <w:pPr>
      <w:jc w:val="center"/>
      <w:outlineLvl w:val="0"/>
    </w:pPr>
    <w:rPr>
      <w:i/>
    </w:rPr>
  </w:style>
  <w:style w:type="character" w:customStyle="1" w:styleId="ECHRParaChar">
    <w:name w:val="ECHR_Para Char"/>
    <w:aliases w:val="Ju_Para Char"/>
    <w:link w:val="ECHRPara"/>
    <w:uiPriority w:val="12"/>
    <w:rsid w:val="00DA02C2"/>
    <w:rPr>
      <w:rFonts w:eastAsiaTheme="minorEastAsia"/>
      <w:sz w:val="24"/>
    </w:rPr>
  </w:style>
  <w:style w:type="numbering" w:customStyle="1" w:styleId="ECHRA1StyleNumberedList">
    <w:name w:val="ECHR_A1_Style_Numbered_List"/>
    <w:basedOn w:val="Nessunelenco"/>
    <w:rsid w:val="00A6199F"/>
    <w:pPr>
      <w:numPr>
        <w:numId w:val="14"/>
      </w:numPr>
    </w:pPr>
  </w:style>
  <w:style w:type="paragraph" w:customStyle="1" w:styleId="ECHRNumberedList1">
    <w:name w:val="ECHR_Numbered_List_1"/>
    <w:aliases w:val="Num_1"/>
    <w:basedOn w:val="Normale"/>
    <w:uiPriority w:val="9"/>
    <w:rsid w:val="00A6199F"/>
    <w:pPr>
      <w:numPr>
        <w:numId w:val="14"/>
      </w:numPr>
      <w:spacing w:before="60" w:after="60"/>
      <w:jc w:val="left"/>
    </w:pPr>
    <w:rPr>
      <w:sz w:val="22"/>
    </w:rPr>
  </w:style>
  <w:style w:type="paragraph" w:customStyle="1" w:styleId="ECHRNumberedList2">
    <w:name w:val="ECHR_Numbered_List_2"/>
    <w:aliases w:val="Num_2"/>
    <w:basedOn w:val="ECHRNumberedList1"/>
    <w:uiPriority w:val="9"/>
    <w:rsid w:val="00A6199F"/>
    <w:pPr>
      <w:numPr>
        <w:ilvl w:val="1"/>
      </w:numPr>
    </w:pPr>
  </w:style>
  <w:style w:type="paragraph" w:customStyle="1" w:styleId="ECHRNumberedList3">
    <w:name w:val="ECHR_Numbered_List_3"/>
    <w:aliases w:val="Num_3"/>
    <w:basedOn w:val="ECHRNumberedList2"/>
    <w:uiPriority w:val="9"/>
    <w:rsid w:val="00A6199F"/>
    <w:pPr>
      <w:numPr>
        <w:ilvl w:val="2"/>
      </w:numPr>
      <w:tabs>
        <w:tab w:val="clear" w:pos="1758"/>
        <w:tab w:val="num" w:pos="1209"/>
      </w:tabs>
      <w:ind w:left="1209" w:hanging="360"/>
    </w:pPr>
  </w:style>
  <w:style w:type="numbering" w:customStyle="1" w:styleId="ECHRA1StyleBulletedSquare">
    <w:name w:val="ECHR_A1_Style_Bulleted_Square"/>
    <w:basedOn w:val="Nessunelenco"/>
    <w:rsid w:val="004F1679"/>
    <w:pPr>
      <w:numPr>
        <w:numId w:val="15"/>
      </w:numPr>
    </w:pPr>
  </w:style>
  <w:style w:type="paragraph" w:customStyle="1" w:styleId="ECHRBullet1">
    <w:name w:val="ECHR_Bullet_1"/>
    <w:aliases w:val="Bul_1"/>
    <w:basedOn w:val="Normale"/>
    <w:uiPriority w:val="8"/>
    <w:rsid w:val="004F1679"/>
    <w:pPr>
      <w:numPr>
        <w:numId w:val="15"/>
      </w:numPr>
      <w:spacing w:before="60" w:after="60"/>
    </w:pPr>
    <w:rPr>
      <w:sz w:val="22"/>
    </w:rPr>
  </w:style>
  <w:style w:type="paragraph" w:customStyle="1" w:styleId="ECHRBullet2">
    <w:name w:val="ECHR_Bullet_2"/>
    <w:aliases w:val="Bul_2"/>
    <w:basedOn w:val="ECHRBullet1"/>
    <w:uiPriority w:val="8"/>
    <w:rsid w:val="004F1679"/>
    <w:pPr>
      <w:numPr>
        <w:ilvl w:val="1"/>
      </w:numPr>
    </w:pPr>
  </w:style>
  <w:style w:type="paragraph" w:customStyle="1" w:styleId="ECHRBullet3">
    <w:name w:val="ECHR_Bullet_3"/>
    <w:aliases w:val="Bul_3"/>
    <w:basedOn w:val="ECHRBullet2"/>
    <w:uiPriority w:val="8"/>
    <w:rsid w:val="004F1679"/>
    <w:pPr>
      <w:numPr>
        <w:ilvl w:val="2"/>
      </w:numPr>
    </w:pPr>
  </w:style>
  <w:style w:type="paragraph" w:customStyle="1" w:styleId="ECHRBullet4">
    <w:name w:val="ECHR_Bullet_4"/>
    <w:aliases w:val="Bul_4"/>
    <w:basedOn w:val="ECHRBullet3"/>
    <w:uiPriority w:val="8"/>
    <w:rsid w:val="004F1679"/>
    <w:pPr>
      <w:numPr>
        <w:ilvl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annotation reference" w:uiPriority="0"/>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9D3FEB"/>
    <w:pPr>
      <w:jc w:val="both"/>
    </w:pPr>
    <w:rPr>
      <w:rFonts w:eastAsiaTheme="minorEastAsia"/>
      <w:sz w:val="24"/>
    </w:rPr>
  </w:style>
  <w:style w:type="paragraph" w:styleId="Titolo1">
    <w:name w:val="heading 1"/>
    <w:basedOn w:val="Normale"/>
    <w:next w:val="Normale"/>
    <w:link w:val="Titolo1Carattere"/>
    <w:uiPriority w:val="99"/>
    <w:semiHidden/>
    <w:rsid w:val="009D3FEB"/>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D3FEB"/>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D3FEB"/>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D3FEB"/>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9D3FEB"/>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9D3FEB"/>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9D3FEB"/>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9D3FEB"/>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9D3FEB"/>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D3FE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3FEB"/>
    <w:rPr>
      <w:rFonts w:ascii="Tahoma" w:eastAsiaTheme="minorEastAsia" w:hAnsi="Tahoma" w:cs="Tahoma"/>
      <w:sz w:val="16"/>
      <w:szCs w:val="16"/>
    </w:rPr>
  </w:style>
  <w:style w:type="character" w:styleId="Titolodellibro">
    <w:name w:val="Book Title"/>
    <w:uiPriority w:val="99"/>
    <w:semiHidden/>
    <w:qFormat/>
    <w:rsid w:val="009D3FEB"/>
    <w:rPr>
      <w:i/>
      <w:iCs/>
      <w:smallCaps/>
      <w:spacing w:val="5"/>
    </w:rPr>
  </w:style>
  <w:style w:type="paragraph" w:customStyle="1" w:styleId="ECHRHeader">
    <w:name w:val="ECHR_Header"/>
    <w:aliases w:val="Ju_Header"/>
    <w:basedOn w:val="Intestazione"/>
    <w:uiPriority w:val="4"/>
    <w:qFormat/>
    <w:rsid w:val="009D3FEB"/>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semiHidden/>
    <w:rsid w:val="009D3FEB"/>
    <w:pPr>
      <w:jc w:val="left"/>
    </w:pPr>
    <w:rPr>
      <w:sz w:val="8"/>
    </w:rPr>
  </w:style>
  <w:style w:type="character" w:styleId="Enfasigrassetto">
    <w:name w:val="Strong"/>
    <w:uiPriority w:val="99"/>
    <w:semiHidden/>
    <w:qFormat/>
    <w:rsid w:val="009D3FEB"/>
    <w:rPr>
      <w:b/>
      <w:bCs/>
    </w:rPr>
  </w:style>
  <w:style w:type="paragraph" w:styleId="Nessunaspaziatura">
    <w:name w:val="No Spacing"/>
    <w:basedOn w:val="Normale"/>
    <w:link w:val="NessunaspaziaturaCarattere"/>
    <w:semiHidden/>
    <w:qFormat/>
    <w:rsid w:val="009D3FEB"/>
    <w:rPr>
      <w:sz w:val="22"/>
    </w:rPr>
  </w:style>
  <w:style w:type="character" w:customStyle="1" w:styleId="NessunaspaziaturaCarattere">
    <w:name w:val="Nessuna spaziatura Carattere"/>
    <w:basedOn w:val="Carpredefinitoparagrafo"/>
    <w:link w:val="Nessunaspaziatura"/>
    <w:semiHidden/>
    <w:rsid w:val="009D3FEB"/>
    <w:rPr>
      <w:rFonts w:eastAsiaTheme="minorEastAsia"/>
    </w:rPr>
  </w:style>
  <w:style w:type="paragraph" w:customStyle="1" w:styleId="ECHRFooterLine">
    <w:name w:val="ECHR_Footer_Line"/>
    <w:aliases w:val="Footer_Line"/>
    <w:basedOn w:val="Normale"/>
    <w:next w:val="ECHRFooter"/>
    <w:uiPriority w:val="57"/>
    <w:semiHidden/>
    <w:rsid w:val="009D3FEB"/>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9D3FEB"/>
  </w:style>
  <w:style w:type="paragraph" w:customStyle="1" w:styleId="DecList">
    <w:name w:val="Dec_List"/>
    <w:basedOn w:val="Normale"/>
    <w:uiPriority w:val="9"/>
    <w:semiHidden/>
    <w:qFormat/>
    <w:rsid w:val="009D3FEB"/>
    <w:pPr>
      <w:spacing w:before="240"/>
      <w:ind w:left="284"/>
    </w:pPr>
  </w:style>
  <w:style w:type="paragraph" w:customStyle="1" w:styleId="JuParaSub">
    <w:name w:val="Ju_Para_Sub"/>
    <w:basedOn w:val="ECHRPara"/>
    <w:uiPriority w:val="13"/>
    <w:qFormat/>
    <w:rsid w:val="009D3FEB"/>
    <w:pPr>
      <w:ind w:left="284"/>
    </w:pPr>
  </w:style>
  <w:style w:type="paragraph" w:customStyle="1" w:styleId="ECHRTitleCentre3">
    <w:name w:val="ECHR_Title_Centre_3"/>
    <w:aliases w:val="Ju_H_Article"/>
    <w:basedOn w:val="Normale"/>
    <w:next w:val="ECHRParaQuote"/>
    <w:uiPriority w:val="27"/>
    <w:qFormat/>
    <w:rsid w:val="009D3FEB"/>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9D3FEB"/>
    <w:pPr>
      <w:keepNext/>
      <w:keepLines/>
      <w:spacing w:after="240"/>
      <w:jc w:val="center"/>
      <w:outlineLvl w:val="0"/>
    </w:pPr>
    <w:rPr>
      <w:rFonts w:asciiTheme="majorHAnsi" w:hAnsiTheme="majorHAnsi"/>
      <w:sz w:val="28"/>
    </w:rPr>
  </w:style>
  <w:style w:type="paragraph" w:customStyle="1" w:styleId="DummyStyle">
    <w:name w:val="Dummy_Style"/>
    <w:basedOn w:val="Normale"/>
    <w:semiHidden/>
    <w:qFormat/>
    <w:rsid w:val="009D3FEB"/>
    <w:rPr>
      <w:color w:val="00B050"/>
    </w:rPr>
  </w:style>
  <w:style w:type="paragraph" w:customStyle="1" w:styleId="JuAppQuestion">
    <w:name w:val="Ju_App_Question"/>
    <w:basedOn w:val="Normale"/>
    <w:uiPriority w:val="5"/>
    <w:semiHidden/>
    <w:qFormat/>
    <w:rsid w:val="009D3FEB"/>
    <w:pPr>
      <w:numPr>
        <w:numId w:val="26"/>
      </w:numPr>
      <w:jc w:val="left"/>
    </w:pPr>
    <w:rPr>
      <w:b/>
    </w:rPr>
  </w:style>
  <w:style w:type="paragraph" w:customStyle="1" w:styleId="JuCourt">
    <w:name w:val="Ju_Court"/>
    <w:basedOn w:val="Normale"/>
    <w:next w:val="Normale"/>
    <w:uiPriority w:val="16"/>
    <w:qFormat/>
    <w:rsid w:val="009D3FEB"/>
    <w:pPr>
      <w:tabs>
        <w:tab w:val="left" w:pos="907"/>
        <w:tab w:val="left" w:pos="1701"/>
        <w:tab w:val="right" w:pos="7371"/>
      </w:tabs>
      <w:spacing w:before="240"/>
      <w:ind w:left="397" w:hanging="397"/>
      <w:jc w:val="left"/>
    </w:pPr>
    <w:rPr>
      <w:lang w:bidi="en-US"/>
    </w:rPr>
  </w:style>
  <w:style w:type="paragraph" w:customStyle="1" w:styleId="ECHRTitleCentre2">
    <w:name w:val="ECHR_Title_Centre_2"/>
    <w:aliases w:val="Dec_H_Case"/>
    <w:basedOn w:val="Normale"/>
    <w:next w:val="ECHRPara"/>
    <w:uiPriority w:val="8"/>
    <w:qFormat/>
    <w:rsid w:val="009D3FEB"/>
    <w:pPr>
      <w:spacing w:after="240"/>
      <w:jc w:val="center"/>
      <w:outlineLvl w:val="0"/>
    </w:pPr>
    <w:rPr>
      <w:rFonts w:asciiTheme="majorHAnsi" w:hAnsiTheme="majorHAnsi"/>
    </w:rPr>
  </w:style>
  <w:style w:type="paragraph" w:customStyle="1" w:styleId="JuHeaderLandscape">
    <w:name w:val="Ju_Header_Landscape"/>
    <w:basedOn w:val="ECHRHeader"/>
    <w:uiPriority w:val="4"/>
    <w:qFormat/>
    <w:rsid w:val="009D3FEB"/>
    <w:pPr>
      <w:tabs>
        <w:tab w:val="clear" w:pos="3686"/>
        <w:tab w:val="clear" w:pos="7371"/>
        <w:tab w:val="center" w:pos="6146"/>
        <w:tab w:val="right" w:pos="12293"/>
      </w:tabs>
    </w:pPr>
  </w:style>
  <w:style w:type="paragraph" w:styleId="Titolo">
    <w:name w:val="Title"/>
    <w:basedOn w:val="Normale"/>
    <w:next w:val="Normale"/>
    <w:link w:val="TitoloCarattere"/>
    <w:uiPriority w:val="99"/>
    <w:semiHidden/>
    <w:qFormat/>
    <w:rsid w:val="009D3FEB"/>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9D3FEB"/>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Titolo3"/>
    <w:next w:val="ECHRPara"/>
    <w:uiPriority w:val="21"/>
    <w:qFormat/>
    <w:rsid w:val="009D3FEB"/>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Titolo4"/>
    <w:next w:val="ECHRPara"/>
    <w:uiPriority w:val="22"/>
    <w:qFormat/>
    <w:rsid w:val="009D3FEB"/>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9D3FEB"/>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Titolo6"/>
    <w:next w:val="ECHRPara"/>
    <w:uiPriority w:val="24"/>
    <w:qFormat/>
    <w:rsid w:val="009D3FEB"/>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Titolo7"/>
    <w:next w:val="ECHRPara"/>
    <w:uiPriority w:val="25"/>
    <w:qFormat/>
    <w:rsid w:val="009D3FEB"/>
    <w:pPr>
      <w:keepNext/>
      <w:keepLines/>
      <w:spacing w:before="240" w:after="120"/>
      <w:ind w:left="1236"/>
    </w:pPr>
    <w:rPr>
      <w:sz w:val="20"/>
    </w:rPr>
  </w:style>
  <w:style w:type="paragraph" w:customStyle="1" w:styleId="JuQuotSub">
    <w:name w:val="Ju_Quot_Sub"/>
    <w:basedOn w:val="ECHRParaQuote"/>
    <w:uiPriority w:val="15"/>
    <w:qFormat/>
    <w:rsid w:val="009D3FEB"/>
    <w:pPr>
      <w:ind w:left="567"/>
    </w:pPr>
  </w:style>
  <w:style w:type="paragraph" w:customStyle="1" w:styleId="JuInitialled">
    <w:name w:val="Ju_Initialled"/>
    <w:basedOn w:val="Normale"/>
    <w:uiPriority w:val="31"/>
    <w:qFormat/>
    <w:rsid w:val="009D3FEB"/>
    <w:pPr>
      <w:tabs>
        <w:tab w:val="center" w:pos="6407"/>
      </w:tabs>
      <w:spacing w:before="720"/>
      <w:jc w:val="right"/>
    </w:pPr>
  </w:style>
  <w:style w:type="character" w:customStyle="1" w:styleId="JuITMark">
    <w:name w:val="Ju_ITMark"/>
    <w:basedOn w:val="Carpredefinitoparagrafo"/>
    <w:uiPriority w:val="38"/>
    <w:qFormat/>
    <w:rsid w:val="009D3FEB"/>
    <w:rPr>
      <w:vanish w:val="0"/>
      <w:color w:val="auto"/>
      <w:sz w:val="14"/>
      <w:bdr w:val="none" w:sz="0" w:space="0" w:color="auto"/>
      <w:shd w:val="clear" w:color="auto" w:fill="BEE5FF" w:themeFill="background1" w:themeFillTint="33"/>
    </w:rPr>
  </w:style>
  <w:style w:type="paragraph" w:styleId="Intestazione">
    <w:name w:val="header"/>
    <w:basedOn w:val="Normale"/>
    <w:link w:val="IntestazioneCarattere"/>
    <w:uiPriority w:val="57"/>
    <w:semiHidden/>
    <w:rsid w:val="009D3FEB"/>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9D3FEB"/>
    <w:rPr>
      <w:sz w:val="24"/>
    </w:rPr>
  </w:style>
  <w:style w:type="character" w:customStyle="1" w:styleId="Titolo1Carattere">
    <w:name w:val="Titolo 1 Carattere"/>
    <w:basedOn w:val="Carpredefinitoparagrafo"/>
    <w:link w:val="Titolo1"/>
    <w:uiPriority w:val="99"/>
    <w:semiHidden/>
    <w:rsid w:val="009D3FEB"/>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Titolo1"/>
    <w:next w:val="ECHRPara"/>
    <w:uiPriority w:val="19"/>
    <w:qFormat/>
    <w:rsid w:val="009D3FEB"/>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9D3FEB"/>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9D3FEB"/>
    <w:rPr>
      <w:rFonts w:asciiTheme="majorHAnsi" w:eastAsiaTheme="majorEastAsia" w:hAnsiTheme="majorHAnsi" w:cstheme="majorBidi"/>
      <w:b/>
      <w:bCs/>
      <w:color w:val="4D4D4D"/>
      <w:sz w:val="26"/>
      <w:szCs w:val="26"/>
    </w:rPr>
  </w:style>
  <w:style w:type="character" w:customStyle="1" w:styleId="JUNAMES">
    <w:name w:val="JU_NAMES"/>
    <w:uiPriority w:val="17"/>
    <w:qFormat/>
    <w:rsid w:val="009D3FEB"/>
    <w:rPr>
      <w:caps w:val="0"/>
      <w:smallCaps/>
    </w:rPr>
  </w:style>
  <w:style w:type="paragraph" w:customStyle="1" w:styleId="ECHRDecisionBody">
    <w:name w:val="ECHR_Decision_Body"/>
    <w:aliases w:val="Ju_Judges"/>
    <w:basedOn w:val="Normale"/>
    <w:uiPriority w:val="11"/>
    <w:qFormat/>
    <w:rsid w:val="009D3FEB"/>
    <w:pPr>
      <w:tabs>
        <w:tab w:val="left" w:pos="567"/>
        <w:tab w:val="left" w:pos="1134"/>
      </w:tabs>
      <w:jc w:val="left"/>
    </w:pPr>
  </w:style>
  <w:style w:type="character" w:customStyle="1" w:styleId="Titolo3Carattere">
    <w:name w:val="Titolo 3 Carattere"/>
    <w:basedOn w:val="Carpredefinitoparagrafo"/>
    <w:link w:val="Titolo3"/>
    <w:uiPriority w:val="99"/>
    <w:semiHidden/>
    <w:rsid w:val="009D3FEB"/>
    <w:rPr>
      <w:rFonts w:asciiTheme="majorHAnsi" w:eastAsiaTheme="majorEastAsia" w:hAnsiTheme="majorHAnsi" w:cstheme="majorBidi"/>
      <w:b/>
      <w:bCs/>
      <w:color w:val="5F5F5F"/>
      <w:sz w:val="24"/>
    </w:rPr>
  </w:style>
  <w:style w:type="paragraph" w:customStyle="1" w:styleId="ECHRPara">
    <w:name w:val="ECHR_Para"/>
    <w:aliases w:val="Ju_Para"/>
    <w:basedOn w:val="Normale"/>
    <w:link w:val="ECHRParaChar"/>
    <w:uiPriority w:val="12"/>
    <w:qFormat/>
    <w:rsid w:val="009D3FEB"/>
    <w:pPr>
      <w:ind w:firstLine="284"/>
    </w:pPr>
  </w:style>
  <w:style w:type="character" w:customStyle="1" w:styleId="Titolo4Carattere">
    <w:name w:val="Titolo 4 Carattere"/>
    <w:basedOn w:val="Carpredefinitoparagrafo"/>
    <w:link w:val="Titolo4"/>
    <w:uiPriority w:val="99"/>
    <w:semiHidden/>
    <w:rsid w:val="009D3FEB"/>
    <w:rPr>
      <w:rFonts w:asciiTheme="majorHAnsi" w:eastAsiaTheme="majorEastAsia" w:hAnsiTheme="majorHAnsi" w:cstheme="majorBidi"/>
      <w:b/>
      <w:bCs/>
      <w:i/>
      <w:iCs/>
      <w:color w:val="777777"/>
      <w:sz w:val="24"/>
    </w:rPr>
  </w:style>
  <w:style w:type="character" w:customStyle="1" w:styleId="Titolo5Carattere">
    <w:name w:val="Titolo 5 Carattere"/>
    <w:basedOn w:val="Carpredefinitoparagrafo"/>
    <w:link w:val="Titolo5"/>
    <w:uiPriority w:val="99"/>
    <w:semiHidden/>
    <w:rsid w:val="009D3FEB"/>
    <w:rPr>
      <w:rFonts w:asciiTheme="majorHAnsi" w:eastAsiaTheme="majorEastAsia" w:hAnsiTheme="majorHAnsi" w:cstheme="majorBidi"/>
      <w:b/>
      <w:bCs/>
      <w:color w:val="808080"/>
    </w:rPr>
  </w:style>
  <w:style w:type="character" w:styleId="Enfasidelicata">
    <w:name w:val="Subtle Emphasis"/>
    <w:uiPriority w:val="99"/>
    <w:semiHidden/>
    <w:qFormat/>
    <w:rsid w:val="009D3FEB"/>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e"/>
    <w:next w:val="ECHRPara"/>
    <w:uiPriority w:val="18"/>
    <w:qFormat/>
    <w:rsid w:val="009D3FEB"/>
    <w:pPr>
      <w:keepNext/>
      <w:keepLines/>
      <w:spacing w:before="720" w:after="240"/>
      <w:outlineLvl w:val="0"/>
    </w:pPr>
    <w:rPr>
      <w:rFonts w:asciiTheme="majorHAnsi" w:hAnsiTheme="majorHAnsi"/>
      <w:sz w:val="28"/>
    </w:rPr>
  </w:style>
  <w:style w:type="character" w:styleId="Enfasicorsivo">
    <w:name w:val="Emphasis"/>
    <w:uiPriority w:val="99"/>
    <w:semiHidden/>
    <w:qFormat/>
    <w:rsid w:val="009D3FEB"/>
    <w:rPr>
      <w:b/>
      <w:bCs/>
      <w:i/>
      <w:iCs/>
      <w:spacing w:val="10"/>
      <w:bdr w:val="none" w:sz="0" w:space="0" w:color="auto"/>
      <w:shd w:val="clear" w:color="auto" w:fill="auto"/>
    </w:rPr>
  </w:style>
  <w:style w:type="paragraph" w:styleId="Pidipagina">
    <w:name w:val="footer"/>
    <w:basedOn w:val="Normale"/>
    <w:link w:val="PidipaginaCarattere"/>
    <w:uiPriority w:val="57"/>
    <w:semiHidden/>
    <w:rsid w:val="009D3FEB"/>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9D3FEB"/>
    <w:rPr>
      <w:sz w:val="24"/>
    </w:rPr>
  </w:style>
  <w:style w:type="character" w:styleId="Rimandonotaapidipagina">
    <w:name w:val="footnote reference"/>
    <w:basedOn w:val="Carpredefinitoparagrafo"/>
    <w:uiPriority w:val="99"/>
    <w:semiHidden/>
    <w:rsid w:val="009D3FEB"/>
    <w:rPr>
      <w:vertAlign w:val="superscript"/>
    </w:rPr>
  </w:style>
  <w:style w:type="paragraph" w:styleId="Testonotaapidipagina">
    <w:name w:val="footnote text"/>
    <w:basedOn w:val="Normale"/>
    <w:link w:val="TestonotaapidipaginaCarattere"/>
    <w:uiPriority w:val="99"/>
    <w:semiHidden/>
    <w:rsid w:val="009D3FEB"/>
    <w:rPr>
      <w:sz w:val="20"/>
      <w:szCs w:val="20"/>
    </w:rPr>
  </w:style>
  <w:style w:type="character" w:customStyle="1" w:styleId="TestonotaapidipaginaCarattere">
    <w:name w:val="Testo nota a piè di pagina Carattere"/>
    <w:basedOn w:val="Carpredefinitoparagrafo"/>
    <w:link w:val="Testonotaapidipagina"/>
    <w:uiPriority w:val="99"/>
    <w:semiHidden/>
    <w:rsid w:val="009D3FEB"/>
    <w:rPr>
      <w:rFonts w:eastAsiaTheme="minorEastAsia"/>
      <w:sz w:val="20"/>
      <w:szCs w:val="20"/>
    </w:rPr>
  </w:style>
  <w:style w:type="character" w:customStyle="1" w:styleId="Titolo6Carattere">
    <w:name w:val="Titolo 6 Carattere"/>
    <w:basedOn w:val="Carpredefinitoparagrafo"/>
    <w:link w:val="Titolo6"/>
    <w:uiPriority w:val="99"/>
    <w:semiHidden/>
    <w:rsid w:val="009D3FEB"/>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9D3FEB"/>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9D3FEB"/>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9D3FEB"/>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9D3FEB"/>
    <w:rPr>
      <w:color w:val="0072BC" w:themeColor="hyperlink"/>
      <w:u w:val="single"/>
    </w:rPr>
  </w:style>
  <w:style w:type="character" w:styleId="Enfasiintensa">
    <w:name w:val="Intense Emphasis"/>
    <w:uiPriority w:val="99"/>
    <w:semiHidden/>
    <w:qFormat/>
    <w:rsid w:val="009D3FEB"/>
    <w:rPr>
      <w:b/>
      <w:bCs/>
    </w:rPr>
  </w:style>
  <w:style w:type="paragraph" w:styleId="Citazioneintensa">
    <w:name w:val="Intense Quote"/>
    <w:basedOn w:val="Normale"/>
    <w:next w:val="Normale"/>
    <w:link w:val="CitazioneintensaCarattere"/>
    <w:uiPriority w:val="99"/>
    <w:semiHidden/>
    <w:qFormat/>
    <w:rsid w:val="009D3FEB"/>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9D3FEB"/>
    <w:rPr>
      <w:rFonts w:eastAsiaTheme="minorEastAsia"/>
      <w:b/>
      <w:bCs/>
      <w:i/>
      <w:iCs/>
      <w:lang w:bidi="en-US"/>
    </w:rPr>
  </w:style>
  <w:style w:type="character" w:styleId="Riferimentointenso">
    <w:name w:val="Intense Reference"/>
    <w:uiPriority w:val="99"/>
    <w:semiHidden/>
    <w:qFormat/>
    <w:rsid w:val="009D3FEB"/>
    <w:rPr>
      <w:smallCaps/>
      <w:spacing w:val="5"/>
      <w:u w:val="single"/>
    </w:rPr>
  </w:style>
  <w:style w:type="paragraph" w:styleId="Paragrafoelenco">
    <w:name w:val="List Paragraph"/>
    <w:basedOn w:val="Normale"/>
    <w:uiPriority w:val="99"/>
    <w:semiHidden/>
    <w:qFormat/>
    <w:rsid w:val="009D3FEB"/>
    <w:pPr>
      <w:ind w:left="720"/>
      <w:contextualSpacing/>
    </w:pPr>
  </w:style>
  <w:style w:type="table" w:customStyle="1" w:styleId="LtrTableAddress">
    <w:name w:val="Ltr_Table_Address"/>
    <w:basedOn w:val="Tabellanormale"/>
    <w:uiPriority w:val="99"/>
    <w:rsid w:val="001E6F32"/>
    <w:tblPr>
      <w:tblInd w:w="5103" w:type="dxa"/>
      <w:tblCellMar>
        <w:top w:w="0" w:type="dxa"/>
        <w:left w:w="108" w:type="dxa"/>
        <w:bottom w:w="0" w:type="dxa"/>
        <w:right w:w="108" w:type="dxa"/>
      </w:tblCellMar>
    </w:tblPr>
  </w:style>
  <w:style w:type="paragraph" w:styleId="Citazione">
    <w:name w:val="Quote"/>
    <w:basedOn w:val="Normale"/>
    <w:next w:val="Normale"/>
    <w:link w:val="CitazioneCarattere"/>
    <w:uiPriority w:val="99"/>
    <w:semiHidden/>
    <w:qFormat/>
    <w:rsid w:val="009D3FEB"/>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9D3FEB"/>
    <w:rPr>
      <w:rFonts w:eastAsiaTheme="minorEastAsia"/>
      <w:i/>
      <w:iCs/>
      <w:lang w:bidi="en-US"/>
    </w:rPr>
  </w:style>
  <w:style w:type="character" w:styleId="Riferimentodelicato">
    <w:name w:val="Subtle Reference"/>
    <w:uiPriority w:val="99"/>
    <w:semiHidden/>
    <w:qFormat/>
    <w:rsid w:val="009D3FEB"/>
    <w:rPr>
      <w:smallCaps/>
    </w:rPr>
  </w:style>
  <w:style w:type="table" w:styleId="Grigliatabella">
    <w:name w:val="Table Grid"/>
    <w:basedOn w:val="Tabellanormale"/>
    <w:uiPriority w:val="59"/>
    <w:semiHidden/>
    <w:rsid w:val="009D3FEB"/>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mmario1">
    <w:name w:val="toc 1"/>
    <w:basedOn w:val="Normale"/>
    <w:next w:val="Normale"/>
    <w:autoRedefine/>
    <w:uiPriority w:val="99"/>
    <w:semiHidden/>
    <w:rsid w:val="009D3FEB"/>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9D3FEB"/>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9D3FEB"/>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9D3FEB"/>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9D3FEB"/>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9D3FEB"/>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ellanormale"/>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9D3FEB"/>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e"/>
    <w:uiPriority w:val="14"/>
    <w:qFormat/>
    <w:rsid w:val="009D3FEB"/>
    <w:pPr>
      <w:spacing w:before="120" w:after="120"/>
      <w:ind w:left="425" w:firstLine="142"/>
    </w:pPr>
    <w:rPr>
      <w:sz w:val="20"/>
    </w:rPr>
  </w:style>
  <w:style w:type="table" w:customStyle="1" w:styleId="ECHRTableSimpleBox">
    <w:name w:val="ECHR_Table_Simple_Box"/>
    <w:basedOn w:val="Tabellanormale"/>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ellanormale"/>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9D3FEB"/>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ellanormale"/>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e"/>
    <w:next w:val="JuParaLast"/>
    <w:uiPriority w:val="32"/>
    <w:qFormat/>
    <w:rsid w:val="009D3FEB"/>
    <w:pPr>
      <w:tabs>
        <w:tab w:val="center" w:pos="851"/>
        <w:tab w:val="center" w:pos="6407"/>
      </w:tabs>
      <w:spacing w:before="720"/>
      <w:jc w:val="left"/>
    </w:pPr>
  </w:style>
  <w:style w:type="paragraph" w:customStyle="1" w:styleId="JuParaLast">
    <w:name w:val="Ju_Para_Last"/>
    <w:basedOn w:val="Normale"/>
    <w:next w:val="ECHRPara"/>
    <w:uiPriority w:val="30"/>
    <w:qFormat/>
    <w:rsid w:val="009D3FEB"/>
    <w:pPr>
      <w:keepNext/>
      <w:keepLines/>
      <w:spacing w:before="240"/>
      <w:ind w:firstLine="284"/>
    </w:pPr>
  </w:style>
  <w:style w:type="paragraph" w:customStyle="1" w:styleId="JuCase">
    <w:name w:val="Ju_Case"/>
    <w:basedOn w:val="Normale"/>
    <w:next w:val="ECHRPara"/>
    <w:uiPriority w:val="10"/>
    <w:rsid w:val="009D3FEB"/>
    <w:pPr>
      <w:ind w:firstLine="284"/>
    </w:pPr>
    <w:rPr>
      <w:b/>
    </w:rPr>
  </w:style>
  <w:style w:type="paragraph" w:customStyle="1" w:styleId="JuList">
    <w:name w:val="Ju_List"/>
    <w:basedOn w:val="Normale"/>
    <w:uiPriority w:val="28"/>
    <w:qFormat/>
    <w:rsid w:val="009D3FEB"/>
    <w:pPr>
      <w:ind w:left="340" w:hanging="340"/>
    </w:pPr>
  </w:style>
  <w:style w:type="paragraph" w:customStyle="1" w:styleId="JuTitle">
    <w:name w:val="Ju_Title"/>
    <w:basedOn w:val="Normale"/>
    <w:next w:val="ECHRPara"/>
    <w:uiPriority w:val="3"/>
    <w:semiHidden/>
    <w:qFormat/>
    <w:rsid w:val="009D3FEB"/>
    <w:pPr>
      <w:spacing w:before="720" w:after="240"/>
      <w:jc w:val="center"/>
      <w:outlineLvl w:val="0"/>
    </w:pPr>
    <w:rPr>
      <w:rFonts w:asciiTheme="majorHAnsi" w:hAnsiTheme="majorHAnsi"/>
      <w:b/>
      <w:caps/>
    </w:rPr>
  </w:style>
  <w:style w:type="character" w:styleId="Numeropagina">
    <w:name w:val="page number"/>
    <w:uiPriority w:val="99"/>
    <w:semiHidden/>
    <w:rsid w:val="00E77CB3"/>
    <w:rPr>
      <w:rFonts w:ascii="Times New Roman" w:hAnsi="Times New Roman" w:cs="Times New Roman"/>
      <w:sz w:val="18"/>
    </w:rPr>
  </w:style>
  <w:style w:type="paragraph" w:customStyle="1" w:styleId="JuLista">
    <w:name w:val="Ju_List_a"/>
    <w:basedOn w:val="JuList"/>
    <w:uiPriority w:val="28"/>
    <w:qFormat/>
    <w:rsid w:val="009D3FEB"/>
    <w:pPr>
      <w:ind w:left="346" w:firstLine="0"/>
    </w:pPr>
  </w:style>
  <w:style w:type="paragraph" w:customStyle="1" w:styleId="JuListi">
    <w:name w:val="Ju_List_i"/>
    <w:basedOn w:val="Normale"/>
    <w:next w:val="JuLista"/>
    <w:uiPriority w:val="28"/>
    <w:qFormat/>
    <w:rsid w:val="009D3FEB"/>
    <w:pPr>
      <w:ind w:left="794"/>
    </w:pPr>
  </w:style>
  <w:style w:type="character" w:styleId="Rimandocommento">
    <w:name w:val="annotation reference"/>
    <w:semiHidden/>
    <w:rsid w:val="00E77CB3"/>
    <w:rPr>
      <w:sz w:val="16"/>
    </w:rPr>
  </w:style>
  <w:style w:type="paragraph" w:styleId="Testocommento">
    <w:name w:val="annotation text"/>
    <w:basedOn w:val="Normale"/>
    <w:link w:val="TestocommentoCarattere"/>
    <w:semiHidden/>
    <w:rsid w:val="00E77CB3"/>
    <w:rPr>
      <w:sz w:val="20"/>
    </w:rPr>
  </w:style>
  <w:style w:type="character" w:customStyle="1" w:styleId="TestocommentoCarattere">
    <w:name w:val="Testo commento Carattere"/>
    <w:basedOn w:val="Carpredefinitoparagrafo"/>
    <w:link w:val="Testocommento"/>
    <w:uiPriority w:val="99"/>
    <w:semiHidden/>
    <w:rsid w:val="00E77CB3"/>
    <w:rPr>
      <w:rFonts w:eastAsiaTheme="minorEastAsia"/>
      <w:sz w:val="20"/>
    </w:rPr>
  </w:style>
  <w:style w:type="character" w:styleId="Rimandonotadichiusura">
    <w:name w:val="endnote reference"/>
    <w:uiPriority w:val="99"/>
    <w:semiHidden/>
    <w:rsid w:val="00E77CB3"/>
    <w:rPr>
      <w:rFonts w:ascii="Times New Roman" w:hAnsi="Times New Roman" w:cs="Times New Roman"/>
      <w:vertAlign w:val="superscript"/>
    </w:rPr>
  </w:style>
  <w:style w:type="paragraph" w:styleId="Testonotadichiusura">
    <w:name w:val="endnote text"/>
    <w:basedOn w:val="Normale"/>
    <w:link w:val="TestonotadichiusuraCarattere"/>
    <w:uiPriority w:val="99"/>
    <w:semiHidden/>
    <w:rsid w:val="00E77CB3"/>
    <w:rPr>
      <w:sz w:val="20"/>
    </w:rPr>
  </w:style>
  <w:style w:type="character" w:customStyle="1" w:styleId="TestonotadichiusuraCarattere">
    <w:name w:val="Testo nota di chiusura Carattere"/>
    <w:basedOn w:val="Carpredefinitoparagrafo"/>
    <w:link w:val="Testonotadichiusura"/>
    <w:uiPriority w:val="99"/>
    <w:semiHidden/>
    <w:rsid w:val="00E77CB3"/>
    <w:rPr>
      <w:rFonts w:eastAsiaTheme="minorEastAsia"/>
      <w:sz w:val="20"/>
    </w:rPr>
  </w:style>
  <w:style w:type="character" w:styleId="Collegamentovisitato">
    <w:name w:val="FollowedHyperlink"/>
    <w:uiPriority w:val="99"/>
    <w:semiHidden/>
    <w:rsid w:val="00E77CB3"/>
    <w:rPr>
      <w:rFonts w:ascii="Times New Roman" w:hAnsi="Times New Roman" w:cs="Times New Roman"/>
      <w:color w:val="800080"/>
      <w:u w:val="single"/>
    </w:rPr>
  </w:style>
  <w:style w:type="paragraph" w:styleId="Puntoelenco">
    <w:name w:val="List Bullet"/>
    <w:basedOn w:val="Normale"/>
    <w:uiPriority w:val="99"/>
    <w:semiHidden/>
    <w:rsid w:val="00E77CB3"/>
    <w:pPr>
      <w:numPr>
        <w:numId w:val="1"/>
      </w:numPr>
    </w:pPr>
  </w:style>
  <w:style w:type="paragraph" w:customStyle="1" w:styleId="OpiH1">
    <w:name w:val="Opi_H_1"/>
    <w:basedOn w:val="ECHRHeading2"/>
    <w:uiPriority w:val="42"/>
    <w:qFormat/>
    <w:rsid w:val="009D3FEB"/>
    <w:pPr>
      <w:ind w:left="635" w:hanging="357"/>
      <w:outlineLvl w:val="2"/>
    </w:pPr>
  </w:style>
  <w:style w:type="paragraph" w:styleId="Soggettocommento">
    <w:name w:val="annotation subject"/>
    <w:basedOn w:val="Testocommento"/>
    <w:next w:val="Testocommento"/>
    <w:link w:val="SoggettocommentoCarattere"/>
    <w:uiPriority w:val="99"/>
    <w:semiHidden/>
    <w:rsid w:val="00E77CB3"/>
    <w:rPr>
      <w:b/>
      <w:bCs/>
    </w:rPr>
  </w:style>
  <w:style w:type="character" w:customStyle="1" w:styleId="SoggettocommentoCarattere">
    <w:name w:val="Soggetto commento Carattere"/>
    <w:basedOn w:val="TestocommentoCarattere"/>
    <w:link w:val="Soggettocommento"/>
    <w:uiPriority w:val="99"/>
    <w:semiHidden/>
    <w:rsid w:val="00E77CB3"/>
    <w:rPr>
      <w:rFonts w:eastAsiaTheme="minorEastAsia"/>
      <w:b/>
      <w:bCs/>
      <w:sz w:val="20"/>
    </w:rPr>
  </w:style>
  <w:style w:type="paragraph" w:styleId="Mappadocumento">
    <w:name w:val="Document Map"/>
    <w:basedOn w:val="Normale"/>
    <w:link w:val="MappadocumentoCarattere"/>
    <w:uiPriority w:val="99"/>
    <w:semiHidden/>
    <w:rsid w:val="00E77CB3"/>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E77CB3"/>
    <w:rPr>
      <w:rFonts w:ascii="Tahoma" w:eastAsiaTheme="minorEastAsia" w:hAnsi="Tahoma" w:cs="Tahoma"/>
      <w:sz w:val="20"/>
      <w:shd w:val="clear" w:color="auto" w:fill="000080"/>
    </w:rPr>
  </w:style>
  <w:style w:type="paragraph" w:customStyle="1" w:styleId="OpiHa">
    <w:name w:val="Opi_H_a"/>
    <w:basedOn w:val="ECHRHeading3"/>
    <w:uiPriority w:val="43"/>
    <w:qFormat/>
    <w:rsid w:val="009D3FEB"/>
    <w:pPr>
      <w:ind w:left="833" w:hanging="357"/>
      <w:outlineLvl w:val="3"/>
    </w:pPr>
    <w:rPr>
      <w:b/>
      <w:i w:val="0"/>
      <w:sz w:val="20"/>
    </w:rPr>
  </w:style>
  <w:style w:type="paragraph" w:styleId="Sottotitolo">
    <w:name w:val="Subtitle"/>
    <w:basedOn w:val="Normale"/>
    <w:next w:val="Normale"/>
    <w:link w:val="SottotitoloCarattere"/>
    <w:uiPriority w:val="99"/>
    <w:semiHidden/>
    <w:qFormat/>
    <w:rsid w:val="009D3FEB"/>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9D3FEB"/>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E77CB3"/>
    <w:pPr>
      <w:numPr>
        <w:numId w:val="2"/>
      </w:numPr>
    </w:pPr>
  </w:style>
  <w:style w:type="numbering" w:styleId="1ai">
    <w:name w:val="Outline List 1"/>
    <w:basedOn w:val="Nessunelenco"/>
    <w:uiPriority w:val="99"/>
    <w:semiHidden/>
    <w:rsid w:val="00E77CB3"/>
    <w:pPr>
      <w:numPr>
        <w:numId w:val="3"/>
      </w:numPr>
    </w:pPr>
  </w:style>
  <w:style w:type="numbering" w:styleId="ArticoloSezione">
    <w:name w:val="Outline List 3"/>
    <w:basedOn w:val="Nessunelenco"/>
    <w:uiPriority w:val="99"/>
    <w:semiHidden/>
    <w:rsid w:val="00E77CB3"/>
    <w:pPr>
      <w:numPr>
        <w:numId w:val="4"/>
      </w:numPr>
    </w:pPr>
  </w:style>
  <w:style w:type="paragraph" w:styleId="Bibliografia">
    <w:name w:val="Bibliography"/>
    <w:basedOn w:val="Normale"/>
    <w:next w:val="Normale"/>
    <w:uiPriority w:val="99"/>
    <w:semiHidden/>
    <w:unhideWhenUsed/>
    <w:rsid w:val="00E77CB3"/>
  </w:style>
  <w:style w:type="paragraph" w:styleId="Testodelblocco">
    <w:name w:val="Block Text"/>
    <w:basedOn w:val="Normale"/>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rsid w:val="00E77CB3"/>
    <w:pPr>
      <w:spacing w:after="120"/>
    </w:pPr>
  </w:style>
  <w:style w:type="character" w:customStyle="1" w:styleId="CorpotestoCarattere">
    <w:name w:val="Corpo testo Carattere"/>
    <w:basedOn w:val="Carpredefinitoparagrafo"/>
    <w:link w:val="Corpotesto"/>
    <w:uiPriority w:val="99"/>
    <w:semiHidden/>
    <w:rsid w:val="00E77CB3"/>
    <w:rPr>
      <w:rFonts w:eastAsiaTheme="minorEastAsia"/>
      <w:sz w:val="24"/>
    </w:rPr>
  </w:style>
  <w:style w:type="paragraph" w:styleId="Corpodeltesto2">
    <w:name w:val="Body Text 2"/>
    <w:basedOn w:val="Normale"/>
    <w:link w:val="Corpodeltesto2Carattere"/>
    <w:uiPriority w:val="99"/>
    <w:semiHidden/>
    <w:rsid w:val="00E77CB3"/>
    <w:pPr>
      <w:spacing w:after="120" w:line="480" w:lineRule="auto"/>
    </w:pPr>
  </w:style>
  <w:style w:type="character" w:customStyle="1" w:styleId="Corpodeltesto2Carattere">
    <w:name w:val="Corpo del testo 2 Carattere"/>
    <w:basedOn w:val="Carpredefinitoparagrafo"/>
    <w:link w:val="Corpodeltesto2"/>
    <w:uiPriority w:val="99"/>
    <w:semiHidden/>
    <w:rsid w:val="00E77CB3"/>
    <w:rPr>
      <w:rFonts w:eastAsiaTheme="minorEastAsia"/>
      <w:sz w:val="24"/>
    </w:rPr>
  </w:style>
  <w:style w:type="paragraph" w:styleId="Corpodeltesto3">
    <w:name w:val="Body Text 3"/>
    <w:basedOn w:val="Normale"/>
    <w:link w:val="Corpodeltesto3Carattere"/>
    <w:uiPriority w:val="99"/>
    <w:semiHidden/>
    <w:rsid w:val="00E77CB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77CB3"/>
    <w:rPr>
      <w:rFonts w:eastAsiaTheme="minorEastAsia"/>
      <w:sz w:val="16"/>
      <w:szCs w:val="16"/>
    </w:rPr>
  </w:style>
  <w:style w:type="paragraph" w:styleId="Primorientrocorpodeltesto">
    <w:name w:val="Body Text First Indent"/>
    <w:basedOn w:val="Corpotesto"/>
    <w:link w:val="PrimorientrocorpodeltestoCarattere"/>
    <w:uiPriority w:val="99"/>
    <w:semiHidden/>
    <w:rsid w:val="00E77CB3"/>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77CB3"/>
    <w:rPr>
      <w:rFonts w:eastAsiaTheme="minorEastAsia"/>
      <w:sz w:val="24"/>
    </w:rPr>
  </w:style>
  <w:style w:type="paragraph" w:styleId="Rientrocorpodeltesto">
    <w:name w:val="Body Text Indent"/>
    <w:basedOn w:val="Normale"/>
    <w:link w:val="RientrocorpodeltestoCarattere"/>
    <w:uiPriority w:val="99"/>
    <w:semiHidden/>
    <w:rsid w:val="00E77CB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77CB3"/>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E77CB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77CB3"/>
    <w:rPr>
      <w:rFonts w:eastAsiaTheme="minorEastAsia"/>
      <w:sz w:val="24"/>
    </w:rPr>
  </w:style>
  <w:style w:type="paragraph" w:styleId="Rientrocorpodeltesto2">
    <w:name w:val="Body Text Indent 2"/>
    <w:basedOn w:val="Normale"/>
    <w:link w:val="Rientrocorpodeltesto2Carattere"/>
    <w:uiPriority w:val="99"/>
    <w:semiHidden/>
    <w:rsid w:val="00E77CB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77CB3"/>
    <w:rPr>
      <w:rFonts w:eastAsiaTheme="minorEastAsia"/>
      <w:sz w:val="24"/>
    </w:rPr>
  </w:style>
  <w:style w:type="paragraph" w:styleId="Rientrocorpodeltesto3">
    <w:name w:val="Body Text Indent 3"/>
    <w:basedOn w:val="Normale"/>
    <w:link w:val="Rientrocorpodeltesto3Carattere"/>
    <w:uiPriority w:val="99"/>
    <w:semiHidden/>
    <w:rsid w:val="00E77CB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77CB3"/>
    <w:rPr>
      <w:rFonts w:eastAsiaTheme="minorEastAsia"/>
      <w:sz w:val="16"/>
      <w:szCs w:val="16"/>
    </w:rPr>
  </w:style>
  <w:style w:type="paragraph" w:styleId="Didascalia">
    <w:name w:val="caption"/>
    <w:basedOn w:val="Normale"/>
    <w:next w:val="Normale"/>
    <w:uiPriority w:val="99"/>
    <w:semiHidden/>
    <w:qFormat/>
    <w:rsid w:val="00E77CB3"/>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E77CB3"/>
    <w:pPr>
      <w:ind w:left="4252"/>
    </w:pPr>
  </w:style>
  <w:style w:type="character" w:customStyle="1" w:styleId="FormuladichiusuraCarattere">
    <w:name w:val="Formula di chiusura Carattere"/>
    <w:basedOn w:val="Carpredefinitoparagrafo"/>
    <w:link w:val="Formuladichiusura"/>
    <w:uiPriority w:val="99"/>
    <w:semiHidden/>
    <w:rsid w:val="00E77CB3"/>
    <w:rPr>
      <w:rFonts w:eastAsiaTheme="minorEastAsia"/>
      <w:sz w:val="24"/>
    </w:rPr>
  </w:style>
  <w:style w:type="table" w:styleId="Grigliaacolori">
    <w:name w:val="Colorful Grid"/>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E77CB3"/>
  </w:style>
  <w:style w:type="character" w:customStyle="1" w:styleId="DataCarattere">
    <w:name w:val="Data Carattere"/>
    <w:basedOn w:val="Carpredefinitoparagrafo"/>
    <w:link w:val="Data"/>
    <w:uiPriority w:val="99"/>
    <w:semiHidden/>
    <w:rsid w:val="00E77CB3"/>
    <w:rPr>
      <w:rFonts w:eastAsiaTheme="minorEastAsia"/>
      <w:sz w:val="24"/>
    </w:rPr>
  </w:style>
  <w:style w:type="paragraph" w:styleId="Firmadipostaelettronica">
    <w:name w:val="E-mail Signature"/>
    <w:basedOn w:val="Normale"/>
    <w:link w:val="FirmadipostaelettronicaCarattere"/>
    <w:uiPriority w:val="99"/>
    <w:semiHidden/>
    <w:rsid w:val="00E77CB3"/>
  </w:style>
  <w:style w:type="character" w:customStyle="1" w:styleId="FirmadipostaelettronicaCarattere">
    <w:name w:val="Firma di posta elettronica Carattere"/>
    <w:basedOn w:val="Carpredefinitoparagrafo"/>
    <w:link w:val="Firmadipostaelettronica"/>
    <w:uiPriority w:val="99"/>
    <w:semiHidden/>
    <w:rsid w:val="00E77CB3"/>
    <w:rPr>
      <w:rFonts w:eastAsiaTheme="minorEastAsia"/>
      <w:sz w:val="24"/>
    </w:rPr>
  </w:style>
  <w:style w:type="paragraph" w:styleId="Indirizzodestinatario">
    <w:name w:val="envelope address"/>
    <w:basedOn w:val="Normale"/>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E77CB3"/>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E77CB3"/>
  </w:style>
  <w:style w:type="paragraph" w:styleId="IndirizzoHTML">
    <w:name w:val="HTML Address"/>
    <w:basedOn w:val="Normale"/>
    <w:link w:val="IndirizzoHTMLCarattere"/>
    <w:uiPriority w:val="99"/>
    <w:semiHidden/>
    <w:rsid w:val="00E77CB3"/>
    <w:rPr>
      <w:i/>
      <w:iCs/>
    </w:rPr>
  </w:style>
  <w:style w:type="character" w:customStyle="1" w:styleId="IndirizzoHTMLCarattere">
    <w:name w:val="Indirizzo HTML Carattere"/>
    <w:basedOn w:val="Carpredefinitoparagrafo"/>
    <w:link w:val="IndirizzoHTML"/>
    <w:uiPriority w:val="99"/>
    <w:semiHidden/>
    <w:rsid w:val="00E77CB3"/>
    <w:rPr>
      <w:rFonts w:eastAsiaTheme="minorEastAsia"/>
      <w:i/>
      <w:iCs/>
      <w:sz w:val="24"/>
    </w:rPr>
  </w:style>
  <w:style w:type="character" w:styleId="CitazioneHTML">
    <w:name w:val="HTML Cite"/>
    <w:basedOn w:val="Carpredefinitoparagrafo"/>
    <w:uiPriority w:val="99"/>
    <w:semiHidden/>
    <w:rsid w:val="00E77CB3"/>
    <w:rPr>
      <w:i/>
      <w:iCs/>
    </w:rPr>
  </w:style>
  <w:style w:type="character" w:styleId="CodiceHTML">
    <w:name w:val="HTML Code"/>
    <w:basedOn w:val="Carpredefinitoparagrafo"/>
    <w:uiPriority w:val="99"/>
    <w:semiHidden/>
    <w:rsid w:val="00E77CB3"/>
    <w:rPr>
      <w:rFonts w:ascii="Consolas" w:hAnsi="Consolas" w:cs="Consolas"/>
      <w:sz w:val="20"/>
      <w:szCs w:val="20"/>
    </w:rPr>
  </w:style>
  <w:style w:type="character" w:styleId="DefinizioneHTML">
    <w:name w:val="HTML Definition"/>
    <w:basedOn w:val="Carpredefinitoparagrafo"/>
    <w:uiPriority w:val="99"/>
    <w:semiHidden/>
    <w:rsid w:val="00E77CB3"/>
    <w:rPr>
      <w:i/>
      <w:iCs/>
    </w:rPr>
  </w:style>
  <w:style w:type="character" w:styleId="TastieraHTML">
    <w:name w:val="HTML Keyboard"/>
    <w:basedOn w:val="Carpredefinitoparagrafo"/>
    <w:uiPriority w:val="99"/>
    <w:semiHidden/>
    <w:rsid w:val="00E77CB3"/>
    <w:rPr>
      <w:rFonts w:ascii="Consolas" w:hAnsi="Consolas" w:cs="Consolas"/>
      <w:sz w:val="20"/>
      <w:szCs w:val="20"/>
    </w:rPr>
  </w:style>
  <w:style w:type="paragraph" w:styleId="PreformattatoHTML">
    <w:name w:val="HTML Preformatted"/>
    <w:basedOn w:val="Normale"/>
    <w:link w:val="PreformattatoHTMLCarattere"/>
    <w:uiPriority w:val="99"/>
    <w:semiHidden/>
    <w:rsid w:val="00E77CB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77CB3"/>
    <w:rPr>
      <w:rFonts w:ascii="Consolas" w:eastAsiaTheme="minorEastAsia" w:hAnsi="Consolas" w:cs="Consolas"/>
      <w:sz w:val="20"/>
      <w:szCs w:val="20"/>
    </w:rPr>
  </w:style>
  <w:style w:type="character" w:styleId="EsempioHTML">
    <w:name w:val="HTML Sample"/>
    <w:basedOn w:val="Carpredefinitoparagrafo"/>
    <w:uiPriority w:val="99"/>
    <w:semiHidden/>
    <w:rsid w:val="00E77CB3"/>
    <w:rPr>
      <w:rFonts w:ascii="Consolas" w:hAnsi="Consolas" w:cs="Consolas"/>
      <w:sz w:val="24"/>
      <w:szCs w:val="24"/>
    </w:rPr>
  </w:style>
  <w:style w:type="character" w:styleId="MacchinadascrivereHTML">
    <w:name w:val="HTML Typewriter"/>
    <w:basedOn w:val="Carpredefinitoparagrafo"/>
    <w:uiPriority w:val="99"/>
    <w:semiHidden/>
    <w:rsid w:val="00E77CB3"/>
    <w:rPr>
      <w:rFonts w:ascii="Consolas" w:hAnsi="Consolas" w:cs="Consolas"/>
      <w:sz w:val="20"/>
      <w:szCs w:val="20"/>
    </w:rPr>
  </w:style>
  <w:style w:type="character" w:styleId="VariabileHTML">
    <w:name w:val="HTML Variable"/>
    <w:basedOn w:val="Carpredefinitoparagrafo"/>
    <w:uiPriority w:val="99"/>
    <w:semiHidden/>
    <w:rsid w:val="00E77CB3"/>
    <w:rPr>
      <w:i/>
      <w:iCs/>
    </w:rPr>
  </w:style>
  <w:style w:type="paragraph" w:styleId="Indice1">
    <w:name w:val="index 1"/>
    <w:basedOn w:val="Normale"/>
    <w:next w:val="Normale"/>
    <w:autoRedefine/>
    <w:uiPriority w:val="99"/>
    <w:semiHidden/>
    <w:rsid w:val="00E77CB3"/>
    <w:pPr>
      <w:ind w:left="240" w:hanging="240"/>
    </w:pPr>
  </w:style>
  <w:style w:type="paragraph" w:styleId="Indice2">
    <w:name w:val="index 2"/>
    <w:basedOn w:val="Normale"/>
    <w:next w:val="Normale"/>
    <w:autoRedefine/>
    <w:uiPriority w:val="99"/>
    <w:semiHidden/>
    <w:rsid w:val="00E77CB3"/>
    <w:pPr>
      <w:ind w:left="480" w:hanging="240"/>
    </w:pPr>
  </w:style>
  <w:style w:type="paragraph" w:styleId="Indice3">
    <w:name w:val="index 3"/>
    <w:basedOn w:val="Normale"/>
    <w:next w:val="Normale"/>
    <w:autoRedefine/>
    <w:uiPriority w:val="99"/>
    <w:semiHidden/>
    <w:rsid w:val="00E77CB3"/>
    <w:pPr>
      <w:ind w:left="720" w:hanging="240"/>
    </w:pPr>
  </w:style>
  <w:style w:type="paragraph" w:styleId="Indice4">
    <w:name w:val="index 4"/>
    <w:basedOn w:val="Normale"/>
    <w:next w:val="Normale"/>
    <w:autoRedefine/>
    <w:uiPriority w:val="99"/>
    <w:semiHidden/>
    <w:rsid w:val="00E77CB3"/>
    <w:pPr>
      <w:ind w:left="960" w:hanging="240"/>
    </w:pPr>
  </w:style>
  <w:style w:type="paragraph" w:styleId="Indice5">
    <w:name w:val="index 5"/>
    <w:basedOn w:val="Normale"/>
    <w:next w:val="Normale"/>
    <w:autoRedefine/>
    <w:uiPriority w:val="99"/>
    <w:semiHidden/>
    <w:rsid w:val="00E77CB3"/>
    <w:pPr>
      <w:ind w:left="1200" w:hanging="240"/>
    </w:pPr>
  </w:style>
  <w:style w:type="paragraph" w:styleId="Indice6">
    <w:name w:val="index 6"/>
    <w:basedOn w:val="Normale"/>
    <w:next w:val="Normale"/>
    <w:autoRedefine/>
    <w:uiPriority w:val="99"/>
    <w:semiHidden/>
    <w:rsid w:val="00E77CB3"/>
    <w:pPr>
      <w:ind w:left="1440" w:hanging="240"/>
    </w:pPr>
  </w:style>
  <w:style w:type="paragraph" w:styleId="Indice7">
    <w:name w:val="index 7"/>
    <w:basedOn w:val="Normale"/>
    <w:next w:val="Normale"/>
    <w:autoRedefine/>
    <w:uiPriority w:val="99"/>
    <w:semiHidden/>
    <w:rsid w:val="00E77CB3"/>
    <w:pPr>
      <w:ind w:left="1680" w:hanging="240"/>
    </w:pPr>
  </w:style>
  <w:style w:type="paragraph" w:styleId="Indice8">
    <w:name w:val="index 8"/>
    <w:basedOn w:val="Normale"/>
    <w:next w:val="Normale"/>
    <w:autoRedefine/>
    <w:uiPriority w:val="99"/>
    <w:semiHidden/>
    <w:rsid w:val="00E77CB3"/>
    <w:pPr>
      <w:ind w:left="1920" w:hanging="240"/>
    </w:pPr>
  </w:style>
  <w:style w:type="paragraph" w:styleId="Indice9">
    <w:name w:val="index 9"/>
    <w:basedOn w:val="Normale"/>
    <w:next w:val="Normale"/>
    <w:autoRedefine/>
    <w:uiPriority w:val="99"/>
    <w:semiHidden/>
    <w:rsid w:val="00E77CB3"/>
    <w:pPr>
      <w:ind w:left="2160" w:hanging="240"/>
    </w:pPr>
  </w:style>
  <w:style w:type="paragraph" w:styleId="Titoloindice">
    <w:name w:val="index heading"/>
    <w:basedOn w:val="Normale"/>
    <w:next w:val="Indice1"/>
    <w:uiPriority w:val="99"/>
    <w:semiHidden/>
    <w:rsid w:val="00E77CB3"/>
    <w:rPr>
      <w:rFonts w:asciiTheme="majorHAnsi" w:eastAsiaTheme="majorEastAsia" w:hAnsiTheme="majorHAnsi" w:cstheme="majorBidi"/>
      <w:b/>
      <w:bCs/>
    </w:rPr>
  </w:style>
  <w:style w:type="table" w:styleId="Grigliachiara">
    <w:name w:val="Light Grid"/>
    <w:basedOn w:val="Tabellanormale"/>
    <w:uiPriority w:val="99"/>
    <w:semiHidden/>
    <w:rsid w:val="00E77CB3"/>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E77CB3"/>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E77CB3"/>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E77CB3"/>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E77CB3"/>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E77CB3"/>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E77CB3"/>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E77CB3"/>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E77CB3"/>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E77CB3"/>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E77CB3"/>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E77CB3"/>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E77CB3"/>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E77CB3"/>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E77CB3"/>
    <w:rPr>
      <w:color w:val="000000" w:themeColor="text1" w:themeShade="BF"/>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E77CB3"/>
    <w:rPr>
      <w:color w:val="00548C" w:themeColor="accent1" w:themeShade="BF"/>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E77CB3"/>
    <w:rPr>
      <w:color w:val="8F0000" w:themeColor="accent2" w:themeShade="BF"/>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E77CB3"/>
    <w:rPr>
      <w:color w:val="474747" w:themeColor="accent3" w:themeShade="BF"/>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E77CB3"/>
    <w:rPr>
      <w:color w:val="707070" w:themeColor="accent4" w:themeShade="BF"/>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E77CB3"/>
    <w:rPr>
      <w:color w:val="474747" w:themeColor="accent5" w:themeShade="BF"/>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E77CB3"/>
    <w:rPr>
      <w:color w:val="393939" w:themeColor="accent6" w:themeShade="BF"/>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E77CB3"/>
  </w:style>
  <w:style w:type="paragraph" w:styleId="Elenco">
    <w:name w:val="List"/>
    <w:basedOn w:val="Normale"/>
    <w:uiPriority w:val="99"/>
    <w:semiHidden/>
    <w:rsid w:val="00E77CB3"/>
    <w:pPr>
      <w:ind w:left="283" w:hanging="283"/>
      <w:contextualSpacing/>
    </w:pPr>
  </w:style>
  <w:style w:type="paragraph" w:styleId="Elenco2">
    <w:name w:val="List 2"/>
    <w:basedOn w:val="Normale"/>
    <w:uiPriority w:val="99"/>
    <w:semiHidden/>
    <w:rsid w:val="00E77CB3"/>
    <w:pPr>
      <w:ind w:left="566" w:hanging="283"/>
      <w:contextualSpacing/>
    </w:pPr>
  </w:style>
  <w:style w:type="paragraph" w:styleId="Elenco3">
    <w:name w:val="List 3"/>
    <w:basedOn w:val="Normale"/>
    <w:uiPriority w:val="99"/>
    <w:semiHidden/>
    <w:rsid w:val="00E77CB3"/>
    <w:pPr>
      <w:ind w:left="849" w:hanging="283"/>
      <w:contextualSpacing/>
    </w:pPr>
  </w:style>
  <w:style w:type="paragraph" w:styleId="Elenco4">
    <w:name w:val="List 4"/>
    <w:basedOn w:val="Normale"/>
    <w:uiPriority w:val="99"/>
    <w:semiHidden/>
    <w:rsid w:val="00E77CB3"/>
    <w:pPr>
      <w:ind w:left="1132" w:hanging="283"/>
      <w:contextualSpacing/>
    </w:pPr>
  </w:style>
  <w:style w:type="paragraph" w:styleId="Elenco5">
    <w:name w:val="List 5"/>
    <w:basedOn w:val="Normale"/>
    <w:uiPriority w:val="99"/>
    <w:semiHidden/>
    <w:rsid w:val="00E77CB3"/>
    <w:pPr>
      <w:ind w:left="1415" w:hanging="283"/>
      <w:contextualSpacing/>
    </w:pPr>
  </w:style>
  <w:style w:type="paragraph" w:styleId="Puntoelenco2">
    <w:name w:val="List Bullet 2"/>
    <w:basedOn w:val="Normale"/>
    <w:uiPriority w:val="99"/>
    <w:semiHidden/>
    <w:rsid w:val="00E77CB3"/>
    <w:pPr>
      <w:numPr>
        <w:numId w:val="5"/>
      </w:numPr>
      <w:contextualSpacing/>
    </w:pPr>
  </w:style>
  <w:style w:type="paragraph" w:styleId="Puntoelenco3">
    <w:name w:val="List Bullet 3"/>
    <w:basedOn w:val="Normale"/>
    <w:uiPriority w:val="99"/>
    <w:semiHidden/>
    <w:rsid w:val="00E77CB3"/>
    <w:pPr>
      <w:numPr>
        <w:numId w:val="6"/>
      </w:numPr>
      <w:contextualSpacing/>
    </w:pPr>
  </w:style>
  <w:style w:type="paragraph" w:styleId="Puntoelenco4">
    <w:name w:val="List Bullet 4"/>
    <w:basedOn w:val="Normale"/>
    <w:uiPriority w:val="99"/>
    <w:semiHidden/>
    <w:rsid w:val="00E77CB3"/>
    <w:pPr>
      <w:numPr>
        <w:numId w:val="7"/>
      </w:numPr>
      <w:contextualSpacing/>
    </w:pPr>
  </w:style>
  <w:style w:type="paragraph" w:styleId="Puntoelenco5">
    <w:name w:val="List Bullet 5"/>
    <w:basedOn w:val="Normale"/>
    <w:uiPriority w:val="99"/>
    <w:semiHidden/>
    <w:rsid w:val="00E77CB3"/>
    <w:pPr>
      <w:numPr>
        <w:numId w:val="8"/>
      </w:numPr>
      <w:contextualSpacing/>
    </w:pPr>
  </w:style>
  <w:style w:type="paragraph" w:styleId="Elencocontinua">
    <w:name w:val="List Continue"/>
    <w:basedOn w:val="Normale"/>
    <w:uiPriority w:val="99"/>
    <w:semiHidden/>
    <w:rsid w:val="00E77CB3"/>
    <w:pPr>
      <w:spacing w:after="120"/>
      <w:ind w:left="283"/>
      <w:contextualSpacing/>
    </w:pPr>
  </w:style>
  <w:style w:type="paragraph" w:styleId="Elencocontinua2">
    <w:name w:val="List Continue 2"/>
    <w:basedOn w:val="Normale"/>
    <w:uiPriority w:val="99"/>
    <w:semiHidden/>
    <w:rsid w:val="00E77CB3"/>
    <w:pPr>
      <w:spacing w:after="120"/>
      <w:ind w:left="566"/>
      <w:contextualSpacing/>
    </w:pPr>
  </w:style>
  <w:style w:type="paragraph" w:styleId="Elencocontinua3">
    <w:name w:val="List Continue 3"/>
    <w:basedOn w:val="Normale"/>
    <w:uiPriority w:val="99"/>
    <w:semiHidden/>
    <w:rsid w:val="00E77CB3"/>
    <w:pPr>
      <w:spacing w:after="120"/>
      <w:ind w:left="849"/>
      <w:contextualSpacing/>
    </w:pPr>
  </w:style>
  <w:style w:type="paragraph" w:styleId="Elencocontinua4">
    <w:name w:val="List Continue 4"/>
    <w:basedOn w:val="Normale"/>
    <w:uiPriority w:val="99"/>
    <w:semiHidden/>
    <w:rsid w:val="00E77CB3"/>
    <w:pPr>
      <w:spacing w:after="120"/>
      <w:ind w:left="1132"/>
      <w:contextualSpacing/>
    </w:pPr>
  </w:style>
  <w:style w:type="paragraph" w:styleId="Elencocontinua5">
    <w:name w:val="List Continue 5"/>
    <w:basedOn w:val="Normale"/>
    <w:uiPriority w:val="99"/>
    <w:semiHidden/>
    <w:rsid w:val="00E77CB3"/>
    <w:pPr>
      <w:spacing w:after="120"/>
      <w:ind w:left="1415"/>
      <w:contextualSpacing/>
    </w:pPr>
  </w:style>
  <w:style w:type="paragraph" w:styleId="Numeroelenco">
    <w:name w:val="List Number"/>
    <w:basedOn w:val="Normale"/>
    <w:uiPriority w:val="99"/>
    <w:semiHidden/>
    <w:rsid w:val="00E77CB3"/>
    <w:pPr>
      <w:numPr>
        <w:numId w:val="9"/>
      </w:numPr>
      <w:contextualSpacing/>
    </w:pPr>
  </w:style>
  <w:style w:type="paragraph" w:styleId="Numeroelenco2">
    <w:name w:val="List Number 2"/>
    <w:basedOn w:val="Normale"/>
    <w:uiPriority w:val="99"/>
    <w:semiHidden/>
    <w:rsid w:val="00E77CB3"/>
    <w:pPr>
      <w:numPr>
        <w:numId w:val="10"/>
      </w:numPr>
      <w:contextualSpacing/>
    </w:pPr>
  </w:style>
  <w:style w:type="paragraph" w:styleId="Numeroelenco3">
    <w:name w:val="List Number 3"/>
    <w:basedOn w:val="Normale"/>
    <w:uiPriority w:val="99"/>
    <w:semiHidden/>
    <w:rsid w:val="00E77CB3"/>
    <w:pPr>
      <w:numPr>
        <w:numId w:val="11"/>
      </w:numPr>
      <w:contextualSpacing/>
    </w:pPr>
  </w:style>
  <w:style w:type="paragraph" w:styleId="Numeroelenco4">
    <w:name w:val="List Number 4"/>
    <w:basedOn w:val="Normale"/>
    <w:uiPriority w:val="99"/>
    <w:semiHidden/>
    <w:rsid w:val="00E77CB3"/>
    <w:pPr>
      <w:numPr>
        <w:numId w:val="12"/>
      </w:numPr>
      <w:contextualSpacing/>
    </w:pPr>
  </w:style>
  <w:style w:type="paragraph" w:styleId="Numeroelenco5">
    <w:name w:val="List Number 5"/>
    <w:basedOn w:val="Normale"/>
    <w:uiPriority w:val="99"/>
    <w:semiHidden/>
    <w:rsid w:val="00E77CB3"/>
    <w:pPr>
      <w:numPr>
        <w:numId w:val="13"/>
      </w:numPr>
      <w:contextualSpacing/>
    </w:pPr>
  </w:style>
  <w:style w:type="paragraph" w:styleId="Testomacro">
    <w:name w:val="macro"/>
    <w:link w:val="TestomacroCarattere"/>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77CB3"/>
    <w:rPr>
      <w:rFonts w:ascii="Consolas" w:eastAsiaTheme="minorEastAsia" w:hAnsi="Consolas" w:cs="Consolas"/>
      <w:sz w:val="20"/>
      <w:szCs w:val="20"/>
    </w:rPr>
  </w:style>
  <w:style w:type="table" w:styleId="Grigliamedia1">
    <w:name w:val="Medium Grid 1"/>
    <w:basedOn w:val="Tabellanormale"/>
    <w:uiPriority w:val="99"/>
    <w:semiHidden/>
    <w:rsid w:val="00E77CB3"/>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E77CB3"/>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E77CB3"/>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E77CB3"/>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E77CB3"/>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E77CB3"/>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E77CB3"/>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E77CB3"/>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E77CB3"/>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E77CB3"/>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E77CB3"/>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E77CB3"/>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E77CB3"/>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E77CB3"/>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E77CB3"/>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E77CB3"/>
    <w:rPr>
      <w:rFonts w:ascii="Times New Roman" w:hAnsi="Times New Roman" w:cs="Times New Roman"/>
      <w:szCs w:val="24"/>
    </w:rPr>
  </w:style>
  <w:style w:type="paragraph" w:styleId="Rientronormale">
    <w:name w:val="Normal Indent"/>
    <w:basedOn w:val="Normale"/>
    <w:uiPriority w:val="99"/>
    <w:semiHidden/>
    <w:rsid w:val="00E77CB3"/>
    <w:pPr>
      <w:ind w:left="720"/>
    </w:pPr>
  </w:style>
  <w:style w:type="paragraph" w:styleId="Intestazionenota">
    <w:name w:val="Note Heading"/>
    <w:basedOn w:val="Normale"/>
    <w:next w:val="Normale"/>
    <w:link w:val="IntestazionenotaCarattere"/>
    <w:uiPriority w:val="99"/>
    <w:semiHidden/>
    <w:rsid w:val="00E77CB3"/>
  </w:style>
  <w:style w:type="character" w:customStyle="1" w:styleId="IntestazionenotaCarattere">
    <w:name w:val="Intestazione nota Carattere"/>
    <w:basedOn w:val="Carpredefinitoparagrafo"/>
    <w:link w:val="Intestazionenota"/>
    <w:uiPriority w:val="99"/>
    <w:semiHidden/>
    <w:rsid w:val="00E77CB3"/>
    <w:rPr>
      <w:rFonts w:eastAsiaTheme="minorEastAsia"/>
      <w:sz w:val="24"/>
    </w:rPr>
  </w:style>
  <w:style w:type="character" w:styleId="Testosegnaposto">
    <w:name w:val="Placeholder Text"/>
    <w:basedOn w:val="Carpredefinitoparagrafo"/>
    <w:uiPriority w:val="99"/>
    <w:semiHidden/>
    <w:rsid w:val="009D3FEB"/>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E77CB3"/>
    <w:rPr>
      <w:rFonts w:ascii="Consolas" w:hAnsi="Consolas" w:cs="Consolas"/>
      <w:sz w:val="21"/>
      <w:szCs w:val="21"/>
    </w:rPr>
  </w:style>
  <w:style w:type="character" w:customStyle="1" w:styleId="TestonormaleCarattere">
    <w:name w:val="Testo normale Carattere"/>
    <w:basedOn w:val="Carpredefinitoparagrafo"/>
    <w:link w:val="Testonormale"/>
    <w:uiPriority w:val="99"/>
    <w:rsid w:val="00E77CB3"/>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E77CB3"/>
  </w:style>
  <w:style w:type="character" w:customStyle="1" w:styleId="FormuladiaperturaCarattere">
    <w:name w:val="Formula di apertura Carattere"/>
    <w:basedOn w:val="Carpredefinitoparagrafo"/>
    <w:link w:val="Formuladiapertura"/>
    <w:uiPriority w:val="99"/>
    <w:semiHidden/>
    <w:rsid w:val="00E77CB3"/>
    <w:rPr>
      <w:rFonts w:eastAsiaTheme="minorEastAsia"/>
      <w:sz w:val="24"/>
    </w:rPr>
  </w:style>
  <w:style w:type="paragraph" w:styleId="Firma">
    <w:name w:val="Signature"/>
    <w:basedOn w:val="Normale"/>
    <w:link w:val="FirmaCarattere"/>
    <w:uiPriority w:val="99"/>
    <w:semiHidden/>
    <w:rsid w:val="00E77CB3"/>
    <w:pPr>
      <w:ind w:left="4252"/>
    </w:pPr>
  </w:style>
  <w:style w:type="character" w:customStyle="1" w:styleId="FirmaCarattere">
    <w:name w:val="Firma Carattere"/>
    <w:basedOn w:val="Carpredefinitoparagrafo"/>
    <w:link w:val="Firma"/>
    <w:uiPriority w:val="99"/>
    <w:semiHidden/>
    <w:rsid w:val="00E77CB3"/>
    <w:rPr>
      <w:rFonts w:eastAsiaTheme="minorEastAsia"/>
      <w:sz w:val="24"/>
    </w:rPr>
  </w:style>
  <w:style w:type="table" w:styleId="Tabellaeffetti3D1">
    <w:name w:val="Table 3D effects 1"/>
    <w:basedOn w:val="Tabellanormale"/>
    <w:uiPriority w:val="99"/>
    <w:semiHidden/>
    <w:rsid w:val="00E77CB3"/>
    <w:pPr>
      <w:jc w:val="both"/>
    </w:pPr>
    <w:rPr>
      <w:lang w:val="fr-FR" w:eastAsia="fr-FR"/>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E77CB3"/>
    <w:pPr>
      <w:jc w:val="both"/>
    </w:pPr>
    <w:rPr>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E77CB3"/>
    <w:pPr>
      <w:jc w:val="both"/>
    </w:pPr>
    <w:rPr>
      <w:lang w:val="fr-FR" w:eastAsia="fr-FR"/>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E77CB3"/>
    <w:pPr>
      <w:jc w:val="both"/>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E77CB3"/>
    <w:pPr>
      <w:jc w:val="both"/>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E77CB3"/>
    <w:pPr>
      <w:jc w:val="both"/>
    </w:pPr>
    <w:rPr>
      <w:color w:val="00008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E77CB3"/>
    <w:pPr>
      <w:jc w:val="both"/>
    </w:pPr>
    <w:rPr>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E77CB3"/>
    <w:pPr>
      <w:jc w:val="both"/>
    </w:pPr>
    <w:rPr>
      <w:color w:val="FFFFFF"/>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E77CB3"/>
    <w:pPr>
      <w:jc w:val="both"/>
    </w:pPr>
    <w:rPr>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E77CB3"/>
    <w:pPr>
      <w:jc w:val="both"/>
    </w:pPr>
    <w:rPr>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E77CB3"/>
    <w:pPr>
      <w:jc w:val="both"/>
    </w:pPr>
    <w:rPr>
      <w:b/>
      <w:bCs/>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E77CB3"/>
    <w:pPr>
      <w:jc w:val="both"/>
    </w:pPr>
    <w:rPr>
      <w:b/>
      <w:bCs/>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E77CB3"/>
    <w:pPr>
      <w:jc w:val="both"/>
    </w:pPr>
    <w:rPr>
      <w:b/>
      <w:bCs/>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E77CB3"/>
    <w:pPr>
      <w:jc w:val="both"/>
    </w:pPr>
    <w:rPr>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E77CB3"/>
    <w:pPr>
      <w:jc w:val="both"/>
    </w:pPr>
    <w:rPr>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E77CB3"/>
    <w:pPr>
      <w:jc w:val="both"/>
    </w:pPr>
    <w:rPr>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E77CB3"/>
    <w:pPr>
      <w:jc w:val="both"/>
    </w:pPr>
    <w:rPr>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rsid w:val="00E77CB3"/>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rsid w:val="00E77CB3"/>
    <w:pPr>
      <w:jc w:val="both"/>
    </w:pPr>
    <w:rPr>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rsid w:val="00E77CB3"/>
    <w:pPr>
      <w:jc w:val="both"/>
    </w:pPr>
    <w:rPr>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rsid w:val="00E77CB3"/>
    <w:pPr>
      <w:jc w:val="both"/>
    </w:pPr>
    <w:rPr>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rsid w:val="00E77CB3"/>
    <w:pPr>
      <w:jc w:val="both"/>
    </w:pPr>
    <w:rPr>
      <w:b/>
      <w:bCs/>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rsid w:val="00E77CB3"/>
    <w:pPr>
      <w:jc w:val="both"/>
    </w:pPr>
    <w:rPr>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rsid w:val="00E77CB3"/>
    <w:pPr>
      <w:jc w:val="both"/>
    </w:pPr>
    <w:rPr>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rsid w:val="00E77CB3"/>
    <w:pPr>
      <w:jc w:val="both"/>
    </w:pPr>
    <w:rPr>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rsid w:val="00E77CB3"/>
    <w:pPr>
      <w:jc w:val="both"/>
    </w:pPr>
    <w:rPr>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rsid w:val="00E77CB3"/>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rsid w:val="00E77CB3"/>
    <w:pPr>
      <w:jc w:val="both"/>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rsid w:val="00E77CB3"/>
    <w:pPr>
      <w:jc w:val="both"/>
    </w:pPr>
    <w:rPr>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rsid w:val="00E77CB3"/>
    <w:pPr>
      <w:jc w:val="both"/>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E77CB3"/>
    <w:pPr>
      <w:ind w:left="240" w:hanging="240"/>
    </w:pPr>
  </w:style>
  <w:style w:type="paragraph" w:styleId="Indicedellefigure">
    <w:name w:val="table of figures"/>
    <w:basedOn w:val="Normale"/>
    <w:next w:val="Normale"/>
    <w:uiPriority w:val="99"/>
    <w:semiHidden/>
    <w:rsid w:val="00E77CB3"/>
  </w:style>
  <w:style w:type="table" w:styleId="Tabellaprofessionale">
    <w:name w:val="Table Professional"/>
    <w:basedOn w:val="Tabellanormale"/>
    <w:uiPriority w:val="99"/>
    <w:semiHidden/>
    <w:rsid w:val="00E77CB3"/>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E77CB3"/>
    <w:pPr>
      <w:jc w:val="both"/>
    </w:pPr>
    <w:rPr>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E77CB3"/>
    <w:pPr>
      <w:jc w:val="both"/>
    </w:pPr>
    <w:rPr>
      <w:lang w:val="fr-FR" w:eastAsia="fr-FR"/>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E77CB3"/>
    <w:pPr>
      <w:jc w:val="both"/>
    </w:pPr>
    <w:rPr>
      <w:lang w:val="fr-FR" w:eastAsia="fr-F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E77CB3"/>
    <w:pPr>
      <w:jc w:val="both"/>
    </w:pPr>
    <w:rPr>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E77CB3"/>
    <w:pPr>
      <w:jc w:val="both"/>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aWeb1">
    <w:name w:val="Table Web 1"/>
    <w:basedOn w:val="Tabellanormale"/>
    <w:uiPriority w:val="99"/>
    <w:semiHidden/>
    <w:rsid w:val="00E77CB3"/>
    <w:pPr>
      <w:jc w:val="both"/>
    </w:pPr>
    <w:rPr>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E77CB3"/>
    <w:pPr>
      <w:jc w:val="both"/>
    </w:pPr>
    <w:rPr>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E77CB3"/>
    <w:pPr>
      <w:jc w:val="both"/>
    </w:pPr>
    <w:rPr>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9D3FEB"/>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9D3FEB"/>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E77CB3"/>
    <w:pPr>
      <w:spacing w:after="100"/>
      <w:ind w:left="1680"/>
    </w:pPr>
  </w:style>
  <w:style w:type="paragraph" w:styleId="Sommario9">
    <w:name w:val="toc 9"/>
    <w:basedOn w:val="Normale"/>
    <w:next w:val="Normale"/>
    <w:autoRedefine/>
    <w:uiPriority w:val="99"/>
    <w:semiHidden/>
    <w:rsid w:val="00E77CB3"/>
    <w:pPr>
      <w:spacing w:after="100"/>
      <w:ind w:left="1920"/>
    </w:pPr>
  </w:style>
  <w:style w:type="paragraph" w:customStyle="1" w:styleId="OpiHA0">
    <w:name w:val="Opi_H_A"/>
    <w:basedOn w:val="ECHRHeading1"/>
    <w:next w:val="OpiPara"/>
    <w:uiPriority w:val="41"/>
    <w:qFormat/>
    <w:rsid w:val="009D3FEB"/>
    <w:pPr>
      <w:tabs>
        <w:tab w:val="clear" w:pos="357"/>
      </w:tabs>
      <w:outlineLvl w:val="1"/>
    </w:pPr>
    <w:rPr>
      <w:b/>
    </w:rPr>
  </w:style>
  <w:style w:type="paragraph" w:customStyle="1" w:styleId="OpiHi">
    <w:name w:val="Opi_H_i"/>
    <w:basedOn w:val="ECHRHeading4"/>
    <w:uiPriority w:val="44"/>
    <w:qFormat/>
    <w:rsid w:val="009D3FEB"/>
    <w:pPr>
      <w:ind w:left="1037" w:hanging="357"/>
      <w:outlineLvl w:val="4"/>
    </w:pPr>
    <w:rPr>
      <w:b w:val="0"/>
      <w:i/>
    </w:rPr>
  </w:style>
  <w:style w:type="paragraph" w:customStyle="1" w:styleId="OpiPara">
    <w:name w:val="Opi_Para"/>
    <w:basedOn w:val="ECHRPara"/>
    <w:uiPriority w:val="46"/>
    <w:qFormat/>
    <w:rsid w:val="009D3FEB"/>
  </w:style>
  <w:style w:type="paragraph" w:customStyle="1" w:styleId="OpiParaSub">
    <w:name w:val="Opi_Para_Sub"/>
    <w:basedOn w:val="JuParaSub"/>
    <w:uiPriority w:val="47"/>
    <w:qFormat/>
    <w:rsid w:val="009D3FEB"/>
  </w:style>
  <w:style w:type="paragraph" w:customStyle="1" w:styleId="OpiQuot">
    <w:name w:val="Opi_Quot"/>
    <w:basedOn w:val="ECHRParaQuote"/>
    <w:uiPriority w:val="48"/>
    <w:qFormat/>
    <w:rsid w:val="009D3FEB"/>
  </w:style>
  <w:style w:type="paragraph" w:customStyle="1" w:styleId="OpiQuotSub">
    <w:name w:val="Opi_Quot_Sub"/>
    <w:basedOn w:val="JuQuotSub"/>
    <w:uiPriority w:val="49"/>
    <w:qFormat/>
    <w:rsid w:val="009D3FEB"/>
  </w:style>
  <w:style w:type="paragraph" w:customStyle="1" w:styleId="OpiTranslation">
    <w:name w:val="Opi_Translation"/>
    <w:basedOn w:val="Normale"/>
    <w:next w:val="OpiPara"/>
    <w:uiPriority w:val="40"/>
    <w:qFormat/>
    <w:rsid w:val="009D3FEB"/>
    <w:pPr>
      <w:jc w:val="center"/>
      <w:outlineLvl w:val="0"/>
    </w:pPr>
    <w:rPr>
      <w:i/>
    </w:rPr>
  </w:style>
  <w:style w:type="character" w:customStyle="1" w:styleId="ECHRParaChar">
    <w:name w:val="ECHR_Para Char"/>
    <w:aliases w:val="Ju_Para Char"/>
    <w:link w:val="ECHRPara"/>
    <w:uiPriority w:val="12"/>
    <w:rsid w:val="00DA02C2"/>
    <w:rPr>
      <w:rFonts w:eastAsiaTheme="minorEastAsia"/>
      <w:sz w:val="24"/>
    </w:rPr>
  </w:style>
  <w:style w:type="numbering" w:customStyle="1" w:styleId="ECHRA1StyleNumberedList">
    <w:name w:val="ECHR_A1_Style_Numbered_List"/>
    <w:basedOn w:val="Nessunelenco"/>
    <w:rsid w:val="00A6199F"/>
    <w:pPr>
      <w:numPr>
        <w:numId w:val="14"/>
      </w:numPr>
    </w:pPr>
  </w:style>
  <w:style w:type="paragraph" w:customStyle="1" w:styleId="ECHRNumberedList1">
    <w:name w:val="ECHR_Numbered_List_1"/>
    <w:aliases w:val="Num_1"/>
    <w:basedOn w:val="Normale"/>
    <w:uiPriority w:val="9"/>
    <w:rsid w:val="00A6199F"/>
    <w:pPr>
      <w:numPr>
        <w:numId w:val="14"/>
      </w:numPr>
      <w:spacing w:before="60" w:after="60"/>
      <w:jc w:val="left"/>
    </w:pPr>
    <w:rPr>
      <w:sz w:val="22"/>
    </w:rPr>
  </w:style>
  <w:style w:type="paragraph" w:customStyle="1" w:styleId="ECHRNumberedList2">
    <w:name w:val="ECHR_Numbered_List_2"/>
    <w:aliases w:val="Num_2"/>
    <w:basedOn w:val="ECHRNumberedList1"/>
    <w:uiPriority w:val="9"/>
    <w:rsid w:val="00A6199F"/>
    <w:pPr>
      <w:numPr>
        <w:ilvl w:val="1"/>
      </w:numPr>
    </w:pPr>
  </w:style>
  <w:style w:type="paragraph" w:customStyle="1" w:styleId="ECHRNumberedList3">
    <w:name w:val="ECHR_Numbered_List_3"/>
    <w:aliases w:val="Num_3"/>
    <w:basedOn w:val="ECHRNumberedList2"/>
    <w:uiPriority w:val="9"/>
    <w:rsid w:val="00A6199F"/>
    <w:pPr>
      <w:numPr>
        <w:ilvl w:val="2"/>
      </w:numPr>
      <w:tabs>
        <w:tab w:val="clear" w:pos="1758"/>
        <w:tab w:val="num" w:pos="1209"/>
      </w:tabs>
      <w:ind w:left="1209" w:hanging="360"/>
    </w:pPr>
  </w:style>
  <w:style w:type="numbering" w:customStyle="1" w:styleId="ECHRA1StyleBulletedSquare">
    <w:name w:val="ECHR_A1_Style_Bulleted_Square"/>
    <w:basedOn w:val="Nessunelenco"/>
    <w:rsid w:val="004F1679"/>
    <w:pPr>
      <w:numPr>
        <w:numId w:val="15"/>
      </w:numPr>
    </w:pPr>
  </w:style>
  <w:style w:type="paragraph" w:customStyle="1" w:styleId="ECHRBullet1">
    <w:name w:val="ECHR_Bullet_1"/>
    <w:aliases w:val="Bul_1"/>
    <w:basedOn w:val="Normale"/>
    <w:uiPriority w:val="8"/>
    <w:rsid w:val="004F1679"/>
    <w:pPr>
      <w:numPr>
        <w:numId w:val="15"/>
      </w:numPr>
      <w:spacing w:before="60" w:after="60"/>
    </w:pPr>
    <w:rPr>
      <w:sz w:val="22"/>
    </w:rPr>
  </w:style>
  <w:style w:type="paragraph" w:customStyle="1" w:styleId="ECHRBullet2">
    <w:name w:val="ECHR_Bullet_2"/>
    <w:aliases w:val="Bul_2"/>
    <w:basedOn w:val="ECHRBullet1"/>
    <w:uiPriority w:val="8"/>
    <w:rsid w:val="004F1679"/>
    <w:pPr>
      <w:numPr>
        <w:ilvl w:val="1"/>
      </w:numPr>
    </w:pPr>
  </w:style>
  <w:style w:type="paragraph" w:customStyle="1" w:styleId="ECHRBullet3">
    <w:name w:val="ECHR_Bullet_3"/>
    <w:aliases w:val="Bul_3"/>
    <w:basedOn w:val="ECHRBullet2"/>
    <w:uiPriority w:val="8"/>
    <w:rsid w:val="004F1679"/>
    <w:pPr>
      <w:numPr>
        <w:ilvl w:val="2"/>
      </w:numPr>
    </w:pPr>
  </w:style>
  <w:style w:type="paragraph" w:customStyle="1" w:styleId="ECHRBullet4">
    <w:name w:val="ECHR_Bullet_4"/>
    <w:aliases w:val="Bul_4"/>
    <w:basedOn w:val="ECHRBullet3"/>
    <w:uiPriority w:val="8"/>
    <w:rsid w:val="004F1679"/>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4550">
      <w:bodyDiv w:val="1"/>
      <w:marLeft w:val="0"/>
      <w:marRight w:val="0"/>
      <w:marTop w:val="0"/>
      <w:marBottom w:val="0"/>
      <w:divBdr>
        <w:top w:val="none" w:sz="0" w:space="0" w:color="auto"/>
        <w:left w:val="none" w:sz="0" w:space="0" w:color="auto"/>
        <w:bottom w:val="none" w:sz="0" w:space="0" w:color="auto"/>
        <w:right w:val="none" w:sz="0" w:space="0" w:color="auto"/>
      </w:divBdr>
      <w:divsChild>
        <w:div w:id="1494569750">
          <w:marLeft w:val="0"/>
          <w:marRight w:val="0"/>
          <w:marTop w:val="0"/>
          <w:marBottom w:val="0"/>
          <w:divBdr>
            <w:top w:val="none" w:sz="0" w:space="0" w:color="auto"/>
            <w:left w:val="none" w:sz="0" w:space="0" w:color="auto"/>
            <w:bottom w:val="none" w:sz="0" w:space="0" w:color="auto"/>
            <w:right w:val="none" w:sz="0" w:space="0" w:color="auto"/>
          </w:divBdr>
          <w:divsChild>
            <w:div w:id="1946688206">
              <w:marLeft w:val="0"/>
              <w:marRight w:val="0"/>
              <w:marTop w:val="0"/>
              <w:marBottom w:val="0"/>
              <w:divBdr>
                <w:top w:val="none" w:sz="0" w:space="0" w:color="auto"/>
                <w:left w:val="none" w:sz="0" w:space="0" w:color="auto"/>
                <w:bottom w:val="none" w:sz="0" w:space="0" w:color="auto"/>
                <w:right w:val="none" w:sz="0" w:space="0" w:color="auto"/>
              </w:divBdr>
              <w:divsChild>
                <w:div w:id="2084526503">
                  <w:marLeft w:val="0"/>
                  <w:marRight w:val="0"/>
                  <w:marTop w:val="0"/>
                  <w:marBottom w:val="0"/>
                  <w:divBdr>
                    <w:top w:val="none" w:sz="0" w:space="0" w:color="auto"/>
                    <w:left w:val="none" w:sz="0" w:space="0" w:color="auto"/>
                    <w:bottom w:val="none" w:sz="0" w:space="0" w:color="auto"/>
                    <w:right w:val="none" w:sz="0" w:space="0" w:color="auto"/>
                  </w:divBdr>
                  <w:divsChild>
                    <w:div w:id="985936716">
                      <w:marLeft w:val="0"/>
                      <w:marRight w:val="0"/>
                      <w:marTop w:val="0"/>
                      <w:marBottom w:val="0"/>
                      <w:divBdr>
                        <w:top w:val="none" w:sz="0" w:space="0" w:color="auto"/>
                        <w:left w:val="none" w:sz="0" w:space="0" w:color="auto"/>
                        <w:bottom w:val="none" w:sz="0" w:space="0" w:color="auto"/>
                        <w:right w:val="none" w:sz="0" w:space="0" w:color="auto"/>
                      </w:divBdr>
                      <w:divsChild>
                        <w:div w:id="1151480026">
                          <w:marLeft w:val="0"/>
                          <w:marRight w:val="0"/>
                          <w:marTop w:val="0"/>
                          <w:marBottom w:val="0"/>
                          <w:divBdr>
                            <w:top w:val="none" w:sz="0" w:space="0" w:color="auto"/>
                            <w:left w:val="none" w:sz="0" w:space="0" w:color="auto"/>
                            <w:bottom w:val="none" w:sz="0" w:space="0" w:color="auto"/>
                            <w:right w:val="none" w:sz="0" w:space="0" w:color="auto"/>
                          </w:divBdr>
                          <w:divsChild>
                            <w:div w:id="13579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403">
      <w:bodyDiv w:val="1"/>
      <w:marLeft w:val="0"/>
      <w:marRight w:val="0"/>
      <w:marTop w:val="0"/>
      <w:marBottom w:val="0"/>
      <w:divBdr>
        <w:top w:val="none" w:sz="0" w:space="0" w:color="auto"/>
        <w:left w:val="none" w:sz="0" w:space="0" w:color="auto"/>
        <w:bottom w:val="none" w:sz="0" w:space="0" w:color="auto"/>
        <w:right w:val="none" w:sz="0" w:space="0" w:color="auto"/>
      </w:divBdr>
      <w:divsChild>
        <w:div w:id="1031109644">
          <w:marLeft w:val="0"/>
          <w:marRight w:val="0"/>
          <w:marTop w:val="0"/>
          <w:marBottom w:val="0"/>
          <w:divBdr>
            <w:top w:val="none" w:sz="0" w:space="0" w:color="auto"/>
            <w:left w:val="none" w:sz="0" w:space="0" w:color="auto"/>
            <w:bottom w:val="none" w:sz="0" w:space="0" w:color="auto"/>
            <w:right w:val="none" w:sz="0" w:space="0" w:color="auto"/>
          </w:divBdr>
          <w:divsChild>
            <w:div w:id="993919001">
              <w:marLeft w:val="0"/>
              <w:marRight w:val="0"/>
              <w:marTop w:val="0"/>
              <w:marBottom w:val="0"/>
              <w:divBdr>
                <w:top w:val="none" w:sz="0" w:space="0" w:color="auto"/>
                <w:left w:val="none" w:sz="0" w:space="0" w:color="auto"/>
                <w:bottom w:val="none" w:sz="0" w:space="0" w:color="auto"/>
                <w:right w:val="none" w:sz="0" w:space="0" w:color="auto"/>
              </w:divBdr>
              <w:divsChild>
                <w:div w:id="1060978534">
                  <w:marLeft w:val="0"/>
                  <w:marRight w:val="0"/>
                  <w:marTop w:val="0"/>
                  <w:marBottom w:val="0"/>
                  <w:divBdr>
                    <w:top w:val="none" w:sz="0" w:space="0" w:color="auto"/>
                    <w:left w:val="none" w:sz="0" w:space="0" w:color="auto"/>
                    <w:bottom w:val="none" w:sz="0" w:space="0" w:color="auto"/>
                    <w:right w:val="none" w:sz="0" w:space="0" w:color="auto"/>
                  </w:divBdr>
                  <w:divsChild>
                    <w:div w:id="110127179">
                      <w:marLeft w:val="0"/>
                      <w:marRight w:val="0"/>
                      <w:marTop w:val="0"/>
                      <w:marBottom w:val="0"/>
                      <w:divBdr>
                        <w:top w:val="none" w:sz="0" w:space="0" w:color="auto"/>
                        <w:left w:val="none" w:sz="0" w:space="0" w:color="auto"/>
                        <w:bottom w:val="none" w:sz="0" w:space="0" w:color="auto"/>
                        <w:right w:val="none" w:sz="0" w:space="0" w:color="auto"/>
                      </w:divBdr>
                      <w:divsChild>
                        <w:div w:id="1407806024">
                          <w:marLeft w:val="0"/>
                          <w:marRight w:val="0"/>
                          <w:marTop w:val="0"/>
                          <w:marBottom w:val="0"/>
                          <w:divBdr>
                            <w:top w:val="none" w:sz="0" w:space="0" w:color="auto"/>
                            <w:left w:val="none" w:sz="0" w:space="0" w:color="auto"/>
                            <w:bottom w:val="none" w:sz="0" w:space="0" w:color="auto"/>
                            <w:right w:val="none" w:sz="0" w:space="0" w:color="auto"/>
                          </w:divBdr>
                          <w:divsChild>
                            <w:div w:id="213413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439876">
      <w:bodyDiv w:val="1"/>
      <w:marLeft w:val="0"/>
      <w:marRight w:val="0"/>
      <w:marTop w:val="0"/>
      <w:marBottom w:val="0"/>
      <w:divBdr>
        <w:top w:val="none" w:sz="0" w:space="0" w:color="auto"/>
        <w:left w:val="none" w:sz="0" w:space="0" w:color="auto"/>
        <w:bottom w:val="none" w:sz="0" w:space="0" w:color="auto"/>
        <w:right w:val="none" w:sz="0" w:space="0" w:color="auto"/>
      </w:divBdr>
      <w:divsChild>
        <w:div w:id="150368801">
          <w:marLeft w:val="0"/>
          <w:marRight w:val="0"/>
          <w:marTop w:val="0"/>
          <w:marBottom w:val="0"/>
          <w:divBdr>
            <w:top w:val="none" w:sz="0" w:space="0" w:color="auto"/>
            <w:left w:val="none" w:sz="0" w:space="0" w:color="auto"/>
            <w:bottom w:val="none" w:sz="0" w:space="0" w:color="auto"/>
            <w:right w:val="none" w:sz="0" w:space="0" w:color="auto"/>
          </w:divBdr>
          <w:divsChild>
            <w:div w:id="2076388365">
              <w:marLeft w:val="0"/>
              <w:marRight w:val="0"/>
              <w:marTop w:val="0"/>
              <w:marBottom w:val="0"/>
              <w:divBdr>
                <w:top w:val="none" w:sz="0" w:space="0" w:color="auto"/>
                <w:left w:val="none" w:sz="0" w:space="0" w:color="auto"/>
                <w:bottom w:val="none" w:sz="0" w:space="0" w:color="auto"/>
                <w:right w:val="none" w:sz="0" w:space="0" w:color="auto"/>
              </w:divBdr>
              <w:divsChild>
                <w:div w:id="2094282525">
                  <w:marLeft w:val="0"/>
                  <w:marRight w:val="0"/>
                  <w:marTop w:val="0"/>
                  <w:marBottom w:val="0"/>
                  <w:divBdr>
                    <w:top w:val="none" w:sz="0" w:space="0" w:color="auto"/>
                    <w:left w:val="none" w:sz="0" w:space="0" w:color="auto"/>
                    <w:bottom w:val="none" w:sz="0" w:space="0" w:color="auto"/>
                    <w:right w:val="none" w:sz="0" w:space="0" w:color="auto"/>
                  </w:divBdr>
                  <w:divsChild>
                    <w:div w:id="258755422">
                      <w:marLeft w:val="0"/>
                      <w:marRight w:val="0"/>
                      <w:marTop w:val="0"/>
                      <w:marBottom w:val="0"/>
                      <w:divBdr>
                        <w:top w:val="none" w:sz="0" w:space="0" w:color="auto"/>
                        <w:left w:val="none" w:sz="0" w:space="0" w:color="auto"/>
                        <w:bottom w:val="none" w:sz="0" w:space="0" w:color="auto"/>
                        <w:right w:val="none" w:sz="0" w:space="0" w:color="auto"/>
                      </w:divBdr>
                      <w:divsChild>
                        <w:div w:id="2095928930">
                          <w:marLeft w:val="0"/>
                          <w:marRight w:val="0"/>
                          <w:marTop w:val="0"/>
                          <w:marBottom w:val="0"/>
                          <w:divBdr>
                            <w:top w:val="none" w:sz="0" w:space="0" w:color="auto"/>
                            <w:left w:val="none" w:sz="0" w:space="0" w:color="auto"/>
                            <w:bottom w:val="none" w:sz="0" w:space="0" w:color="auto"/>
                            <w:right w:val="none" w:sz="0" w:space="0" w:color="auto"/>
                          </w:divBdr>
                          <w:divsChild>
                            <w:div w:id="45606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003035">
      <w:bodyDiv w:val="1"/>
      <w:marLeft w:val="0"/>
      <w:marRight w:val="0"/>
      <w:marTop w:val="0"/>
      <w:marBottom w:val="0"/>
      <w:divBdr>
        <w:top w:val="none" w:sz="0" w:space="0" w:color="auto"/>
        <w:left w:val="none" w:sz="0" w:space="0" w:color="auto"/>
        <w:bottom w:val="none" w:sz="0" w:space="0" w:color="auto"/>
        <w:right w:val="none" w:sz="0" w:space="0" w:color="auto"/>
      </w:divBdr>
      <w:divsChild>
        <w:div w:id="132338117">
          <w:marLeft w:val="0"/>
          <w:marRight w:val="0"/>
          <w:marTop w:val="0"/>
          <w:marBottom w:val="0"/>
          <w:divBdr>
            <w:top w:val="none" w:sz="0" w:space="0" w:color="auto"/>
            <w:left w:val="none" w:sz="0" w:space="0" w:color="auto"/>
            <w:bottom w:val="none" w:sz="0" w:space="0" w:color="auto"/>
            <w:right w:val="none" w:sz="0" w:space="0" w:color="auto"/>
          </w:divBdr>
          <w:divsChild>
            <w:div w:id="266471365">
              <w:marLeft w:val="0"/>
              <w:marRight w:val="0"/>
              <w:marTop w:val="0"/>
              <w:marBottom w:val="0"/>
              <w:divBdr>
                <w:top w:val="none" w:sz="0" w:space="0" w:color="auto"/>
                <w:left w:val="none" w:sz="0" w:space="0" w:color="auto"/>
                <w:bottom w:val="none" w:sz="0" w:space="0" w:color="auto"/>
                <w:right w:val="none" w:sz="0" w:space="0" w:color="auto"/>
              </w:divBdr>
              <w:divsChild>
                <w:div w:id="1029112382">
                  <w:marLeft w:val="0"/>
                  <w:marRight w:val="0"/>
                  <w:marTop w:val="0"/>
                  <w:marBottom w:val="0"/>
                  <w:divBdr>
                    <w:top w:val="none" w:sz="0" w:space="0" w:color="auto"/>
                    <w:left w:val="none" w:sz="0" w:space="0" w:color="auto"/>
                    <w:bottom w:val="none" w:sz="0" w:space="0" w:color="auto"/>
                    <w:right w:val="none" w:sz="0" w:space="0" w:color="auto"/>
                  </w:divBdr>
                  <w:divsChild>
                    <w:div w:id="1266110458">
                      <w:marLeft w:val="0"/>
                      <w:marRight w:val="0"/>
                      <w:marTop w:val="0"/>
                      <w:marBottom w:val="0"/>
                      <w:divBdr>
                        <w:top w:val="none" w:sz="0" w:space="0" w:color="auto"/>
                        <w:left w:val="none" w:sz="0" w:space="0" w:color="auto"/>
                        <w:bottom w:val="none" w:sz="0" w:space="0" w:color="auto"/>
                        <w:right w:val="none" w:sz="0" w:space="0" w:color="auto"/>
                      </w:divBdr>
                      <w:divsChild>
                        <w:div w:id="825586688">
                          <w:marLeft w:val="0"/>
                          <w:marRight w:val="0"/>
                          <w:marTop w:val="0"/>
                          <w:marBottom w:val="0"/>
                          <w:divBdr>
                            <w:top w:val="none" w:sz="0" w:space="0" w:color="auto"/>
                            <w:left w:val="none" w:sz="0" w:space="0" w:color="auto"/>
                            <w:bottom w:val="none" w:sz="0" w:space="0" w:color="auto"/>
                            <w:right w:val="none" w:sz="0" w:space="0" w:color="auto"/>
                          </w:divBdr>
                          <w:divsChild>
                            <w:div w:id="158244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810267">
      <w:bodyDiv w:val="1"/>
      <w:marLeft w:val="0"/>
      <w:marRight w:val="0"/>
      <w:marTop w:val="0"/>
      <w:marBottom w:val="0"/>
      <w:divBdr>
        <w:top w:val="none" w:sz="0" w:space="0" w:color="auto"/>
        <w:left w:val="none" w:sz="0" w:space="0" w:color="auto"/>
        <w:bottom w:val="none" w:sz="0" w:space="0" w:color="auto"/>
        <w:right w:val="none" w:sz="0" w:space="0" w:color="auto"/>
      </w:divBdr>
      <w:divsChild>
        <w:div w:id="677774223">
          <w:marLeft w:val="0"/>
          <w:marRight w:val="0"/>
          <w:marTop w:val="0"/>
          <w:marBottom w:val="0"/>
          <w:divBdr>
            <w:top w:val="none" w:sz="0" w:space="0" w:color="auto"/>
            <w:left w:val="none" w:sz="0" w:space="0" w:color="auto"/>
            <w:bottom w:val="none" w:sz="0" w:space="0" w:color="auto"/>
            <w:right w:val="none" w:sz="0" w:space="0" w:color="auto"/>
          </w:divBdr>
          <w:divsChild>
            <w:div w:id="278953697">
              <w:marLeft w:val="0"/>
              <w:marRight w:val="0"/>
              <w:marTop w:val="0"/>
              <w:marBottom w:val="0"/>
              <w:divBdr>
                <w:top w:val="none" w:sz="0" w:space="0" w:color="auto"/>
                <w:left w:val="none" w:sz="0" w:space="0" w:color="auto"/>
                <w:bottom w:val="none" w:sz="0" w:space="0" w:color="auto"/>
                <w:right w:val="none" w:sz="0" w:space="0" w:color="auto"/>
              </w:divBdr>
              <w:divsChild>
                <w:div w:id="677926755">
                  <w:marLeft w:val="0"/>
                  <w:marRight w:val="0"/>
                  <w:marTop w:val="0"/>
                  <w:marBottom w:val="0"/>
                  <w:divBdr>
                    <w:top w:val="none" w:sz="0" w:space="0" w:color="auto"/>
                    <w:left w:val="none" w:sz="0" w:space="0" w:color="auto"/>
                    <w:bottom w:val="none" w:sz="0" w:space="0" w:color="auto"/>
                    <w:right w:val="none" w:sz="0" w:space="0" w:color="auto"/>
                  </w:divBdr>
                  <w:divsChild>
                    <w:div w:id="961837642">
                      <w:marLeft w:val="0"/>
                      <w:marRight w:val="0"/>
                      <w:marTop w:val="0"/>
                      <w:marBottom w:val="0"/>
                      <w:divBdr>
                        <w:top w:val="none" w:sz="0" w:space="0" w:color="auto"/>
                        <w:left w:val="none" w:sz="0" w:space="0" w:color="auto"/>
                        <w:bottom w:val="none" w:sz="0" w:space="0" w:color="auto"/>
                        <w:right w:val="none" w:sz="0" w:space="0" w:color="auto"/>
                      </w:divBdr>
                      <w:divsChild>
                        <w:div w:id="1807046403">
                          <w:marLeft w:val="0"/>
                          <w:marRight w:val="0"/>
                          <w:marTop w:val="0"/>
                          <w:marBottom w:val="0"/>
                          <w:divBdr>
                            <w:top w:val="none" w:sz="0" w:space="0" w:color="auto"/>
                            <w:left w:val="none" w:sz="0" w:space="0" w:color="auto"/>
                            <w:bottom w:val="none" w:sz="0" w:space="0" w:color="auto"/>
                            <w:right w:val="none" w:sz="0" w:space="0" w:color="auto"/>
                          </w:divBdr>
                          <w:divsChild>
                            <w:div w:id="5133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868713">
      <w:bodyDiv w:val="1"/>
      <w:marLeft w:val="0"/>
      <w:marRight w:val="0"/>
      <w:marTop w:val="0"/>
      <w:marBottom w:val="0"/>
      <w:divBdr>
        <w:top w:val="none" w:sz="0" w:space="0" w:color="auto"/>
        <w:left w:val="none" w:sz="0" w:space="0" w:color="auto"/>
        <w:bottom w:val="none" w:sz="0" w:space="0" w:color="auto"/>
        <w:right w:val="none" w:sz="0" w:space="0" w:color="auto"/>
      </w:divBdr>
    </w:div>
    <w:div w:id="567497716">
      <w:bodyDiv w:val="1"/>
      <w:marLeft w:val="0"/>
      <w:marRight w:val="0"/>
      <w:marTop w:val="0"/>
      <w:marBottom w:val="0"/>
      <w:divBdr>
        <w:top w:val="none" w:sz="0" w:space="0" w:color="auto"/>
        <w:left w:val="none" w:sz="0" w:space="0" w:color="auto"/>
        <w:bottom w:val="none" w:sz="0" w:space="0" w:color="auto"/>
        <w:right w:val="none" w:sz="0" w:space="0" w:color="auto"/>
      </w:divBdr>
      <w:divsChild>
        <w:div w:id="792791692">
          <w:marLeft w:val="0"/>
          <w:marRight w:val="0"/>
          <w:marTop w:val="0"/>
          <w:marBottom w:val="0"/>
          <w:divBdr>
            <w:top w:val="none" w:sz="0" w:space="0" w:color="auto"/>
            <w:left w:val="none" w:sz="0" w:space="0" w:color="auto"/>
            <w:bottom w:val="none" w:sz="0" w:space="0" w:color="auto"/>
            <w:right w:val="none" w:sz="0" w:space="0" w:color="auto"/>
          </w:divBdr>
          <w:divsChild>
            <w:div w:id="1264459949">
              <w:marLeft w:val="0"/>
              <w:marRight w:val="0"/>
              <w:marTop w:val="0"/>
              <w:marBottom w:val="0"/>
              <w:divBdr>
                <w:top w:val="none" w:sz="0" w:space="0" w:color="auto"/>
                <w:left w:val="none" w:sz="0" w:space="0" w:color="auto"/>
                <w:bottom w:val="none" w:sz="0" w:space="0" w:color="auto"/>
                <w:right w:val="none" w:sz="0" w:space="0" w:color="auto"/>
              </w:divBdr>
              <w:divsChild>
                <w:div w:id="1468089701">
                  <w:marLeft w:val="0"/>
                  <w:marRight w:val="0"/>
                  <w:marTop w:val="0"/>
                  <w:marBottom w:val="0"/>
                  <w:divBdr>
                    <w:top w:val="none" w:sz="0" w:space="0" w:color="auto"/>
                    <w:left w:val="none" w:sz="0" w:space="0" w:color="auto"/>
                    <w:bottom w:val="none" w:sz="0" w:space="0" w:color="auto"/>
                    <w:right w:val="none" w:sz="0" w:space="0" w:color="auto"/>
                  </w:divBdr>
                  <w:divsChild>
                    <w:div w:id="1192839285">
                      <w:marLeft w:val="0"/>
                      <w:marRight w:val="0"/>
                      <w:marTop w:val="0"/>
                      <w:marBottom w:val="0"/>
                      <w:divBdr>
                        <w:top w:val="none" w:sz="0" w:space="0" w:color="auto"/>
                        <w:left w:val="none" w:sz="0" w:space="0" w:color="auto"/>
                        <w:bottom w:val="none" w:sz="0" w:space="0" w:color="auto"/>
                        <w:right w:val="none" w:sz="0" w:space="0" w:color="auto"/>
                      </w:divBdr>
                      <w:divsChild>
                        <w:div w:id="1090927972">
                          <w:marLeft w:val="0"/>
                          <w:marRight w:val="0"/>
                          <w:marTop w:val="0"/>
                          <w:marBottom w:val="0"/>
                          <w:divBdr>
                            <w:top w:val="none" w:sz="0" w:space="0" w:color="auto"/>
                            <w:left w:val="none" w:sz="0" w:space="0" w:color="auto"/>
                            <w:bottom w:val="none" w:sz="0" w:space="0" w:color="auto"/>
                            <w:right w:val="none" w:sz="0" w:space="0" w:color="auto"/>
                          </w:divBdr>
                          <w:divsChild>
                            <w:div w:id="18860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269089">
      <w:bodyDiv w:val="1"/>
      <w:marLeft w:val="0"/>
      <w:marRight w:val="0"/>
      <w:marTop w:val="0"/>
      <w:marBottom w:val="0"/>
      <w:divBdr>
        <w:top w:val="none" w:sz="0" w:space="0" w:color="auto"/>
        <w:left w:val="none" w:sz="0" w:space="0" w:color="auto"/>
        <w:bottom w:val="none" w:sz="0" w:space="0" w:color="auto"/>
        <w:right w:val="none" w:sz="0" w:space="0" w:color="auto"/>
      </w:divBdr>
      <w:divsChild>
        <w:div w:id="566841968">
          <w:marLeft w:val="0"/>
          <w:marRight w:val="0"/>
          <w:marTop w:val="0"/>
          <w:marBottom w:val="0"/>
          <w:divBdr>
            <w:top w:val="none" w:sz="0" w:space="0" w:color="auto"/>
            <w:left w:val="none" w:sz="0" w:space="0" w:color="auto"/>
            <w:bottom w:val="none" w:sz="0" w:space="0" w:color="auto"/>
            <w:right w:val="none" w:sz="0" w:space="0" w:color="auto"/>
          </w:divBdr>
          <w:divsChild>
            <w:div w:id="1949576509">
              <w:marLeft w:val="0"/>
              <w:marRight w:val="0"/>
              <w:marTop w:val="0"/>
              <w:marBottom w:val="0"/>
              <w:divBdr>
                <w:top w:val="none" w:sz="0" w:space="0" w:color="auto"/>
                <w:left w:val="none" w:sz="0" w:space="0" w:color="auto"/>
                <w:bottom w:val="none" w:sz="0" w:space="0" w:color="auto"/>
                <w:right w:val="none" w:sz="0" w:space="0" w:color="auto"/>
              </w:divBdr>
              <w:divsChild>
                <w:div w:id="1341392456">
                  <w:marLeft w:val="0"/>
                  <w:marRight w:val="0"/>
                  <w:marTop w:val="0"/>
                  <w:marBottom w:val="0"/>
                  <w:divBdr>
                    <w:top w:val="none" w:sz="0" w:space="0" w:color="auto"/>
                    <w:left w:val="none" w:sz="0" w:space="0" w:color="auto"/>
                    <w:bottom w:val="none" w:sz="0" w:space="0" w:color="auto"/>
                    <w:right w:val="none" w:sz="0" w:space="0" w:color="auto"/>
                  </w:divBdr>
                  <w:divsChild>
                    <w:div w:id="1306082510">
                      <w:marLeft w:val="0"/>
                      <w:marRight w:val="0"/>
                      <w:marTop w:val="0"/>
                      <w:marBottom w:val="0"/>
                      <w:divBdr>
                        <w:top w:val="none" w:sz="0" w:space="0" w:color="auto"/>
                        <w:left w:val="none" w:sz="0" w:space="0" w:color="auto"/>
                        <w:bottom w:val="none" w:sz="0" w:space="0" w:color="auto"/>
                        <w:right w:val="none" w:sz="0" w:space="0" w:color="auto"/>
                      </w:divBdr>
                      <w:divsChild>
                        <w:div w:id="1646740857">
                          <w:marLeft w:val="0"/>
                          <w:marRight w:val="0"/>
                          <w:marTop w:val="0"/>
                          <w:marBottom w:val="0"/>
                          <w:divBdr>
                            <w:top w:val="none" w:sz="0" w:space="0" w:color="auto"/>
                            <w:left w:val="none" w:sz="0" w:space="0" w:color="auto"/>
                            <w:bottom w:val="none" w:sz="0" w:space="0" w:color="auto"/>
                            <w:right w:val="none" w:sz="0" w:space="0" w:color="auto"/>
                          </w:divBdr>
                          <w:divsChild>
                            <w:div w:id="99052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914368">
      <w:bodyDiv w:val="1"/>
      <w:marLeft w:val="0"/>
      <w:marRight w:val="0"/>
      <w:marTop w:val="0"/>
      <w:marBottom w:val="0"/>
      <w:divBdr>
        <w:top w:val="none" w:sz="0" w:space="0" w:color="auto"/>
        <w:left w:val="none" w:sz="0" w:space="0" w:color="auto"/>
        <w:bottom w:val="none" w:sz="0" w:space="0" w:color="auto"/>
        <w:right w:val="none" w:sz="0" w:space="0" w:color="auto"/>
      </w:divBdr>
      <w:divsChild>
        <w:div w:id="303585541">
          <w:marLeft w:val="0"/>
          <w:marRight w:val="0"/>
          <w:marTop w:val="0"/>
          <w:marBottom w:val="0"/>
          <w:divBdr>
            <w:top w:val="none" w:sz="0" w:space="0" w:color="auto"/>
            <w:left w:val="none" w:sz="0" w:space="0" w:color="auto"/>
            <w:bottom w:val="none" w:sz="0" w:space="0" w:color="auto"/>
            <w:right w:val="none" w:sz="0" w:space="0" w:color="auto"/>
          </w:divBdr>
          <w:divsChild>
            <w:div w:id="540750945">
              <w:marLeft w:val="0"/>
              <w:marRight w:val="0"/>
              <w:marTop w:val="0"/>
              <w:marBottom w:val="0"/>
              <w:divBdr>
                <w:top w:val="none" w:sz="0" w:space="0" w:color="auto"/>
                <w:left w:val="none" w:sz="0" w:space="0" w:color="auto"/>
                <w:bottom w:val="none" w:sz="0" w:space="0" w:color="auto"/>
                <w:right w:val="none" w:sz="0" w:space="0" w:color="auto"/>
              </w:divBdr>
              <w:divsChild>
                <w:div w:id="1578786790">
                  <w:marLeft w:val="0"/>
                  <w:marRight w:val="0"/>
                  <w:marTop w:val="0"/>
                  <w:marBottom w:val="0"/>
                  <w:divBdr>
                    <w:top w:val="none" w:sz="0" w:space="0" w:color="auto"/>
                    <w:left w:val="none" w:sz="0" w:space="0" w:color="auto"/>
                    <w:bottom w:val="none" w:sz="0" w:space="0" w:color="auto"/>
                    <w:right w:val="none" w:sz="0" w:space="0" w:color="auto"/>
                  </w:divBdr>
                  <w:divsChild>
                    <w:div w:id="1041246717">
                      <w:marLeft w:val="0"/>
                      <w:marRight w:val="0"/>
                      <w:marTop w:val="0"/>
                      <w:marBottom w:val="0"/>
                      <w:divBdr>
                        <w:top w:val="none" w:sz="0" w:space="0" w:color="auto"/>
                        <w:left w:val="none" w:sz="0" w:space="0" w:color="auto"/>
                        <w:bottom w:val="none" w:sz="0" w:space="0" w:color="auto"/>
                        <w:right w:val="none" w:sz="0" w:space="0" w:color="auto"/>
                      </w:divBdr>
                      <w:divsChild>
                        <w:div w:id="1587955485">
                          <w:marLeft w:val="0"/>
                          <w:marRight w:val="0"/>
                          <w:marTop w:val="0"/>
                          <w:marBottom w:val="0"/>
                          <w:divBdr>
                            <w:top w:val="none" w:sz="0" w:space="0" w:color="auto"/>
                            <w:left w:val="none" w:sz="0" w:space="0" w:color="auto"/>
                            <w:bottom w:val="none" w:sz="0" w:space="0" w:color="auto"/>
                            <w:right w:val="none" w:sz="0" w:space="0" w:color="auto"/>
                          </w:divBdr>
                          <w:divsChild>
                            <w:div w:id="87681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115173">
      <w:bodyDiv w:val="1"/>
      <w:marLeft w:val="0"/>
      <w:marRight w:val="0"/>
      <w:marTop w:val="0"/>
      <w:marBottom w:val="0"/>
      <w:divBdr>
        <w:top w:val="none" w:sz="0" w:space="0" w:color="auto"/>
        <w:left w:val="none" w:sz="0" w:space="0" w:color="auto"/>
        <w:bottom w:val="none" w:sz="0" w:space="0" w:color="auto"/>
        <w:right w:val="none" w:sz="0" w:space="0" w:color="auto"/>
      </w:divBdr>
      <w:divsChild>
        <w:div w:id="1007097498">
          <w:marLeft w:val="0"/>
          <w:marRight w:val="0"/>
          <w:marTop w:val="0"/>
          <w:marBottom w:val="0"/>
          <w:divBdr>
            <w:top w:val="none" w:sz="0" w:space="0" w:color="auto"/>
            <w:left w:val="none" w:sz="0" w:space="0" w:color="auto"/>
            <w:bottom w:val="none" w:sz="0" w:space="0" w:color="auto"/>
            <w:right w:val="none" w:sz="0" w:space="0" w:color="auto"/>
          </w:divBdr>
          <w:divsChild>
            <w:div w:id="1543832521">
              <w:marLeft w:val="0"/>
              <w:marRight w:val="0"/>
              <w:marTop w:val="0"/>
              <w:marBottom w:val="0"/>
              <w:divBdr>
                <w:top w:val="none" w:sz="0" w:space="0" w:color="auto"/>
                <w:left w:val="none" w:sz="0" w:space="0" w:color="auto"/>
                <w:bottom w:val="none" w:sz="0" w:space="0" w:color="auto"/>
                <w:right w:val="none" w:sz="0" w:space="0" w:color="auto"/>
              </w:divBdr>
              <w:divsChild>
                <w:div w:id="1540555855">
                  <w:marLeft w:val="0"/>
                  <w:marRight w:val="0"/>
                  <w:marTop w:val="0"/>
                  <w:marBottom w:val="0"/>
                  <w:divBdr>
                    <w:top w:val="none" w:sz="0" w:space="0" w:color="auto"/>
                    <w:left w:val="none" w:sz="0" w:space="0" w:color="auto"/>
                    <w:bottom w:val="none" w:sz="0" w:space="0" w:color="auto"/>
                    <w:right w:val="none" w:sz="0" w:space="0" w:color="auto"/>
                  </w:divBdr>
                  <w:divsChild>
                    <w:div w:id="197477323">
                      <w:marLeft w:val="0"/>
                      <w:marRight w:val="0"/>
                      <w:marTop w:val="0"/>
                      <w:marBottom w:val="0"/>
                      <w:divBdr>
                        <w:top w:val="none" w:sz="0" w:space="0" w:color="auto"/>
                        <w:left w:val="none" w:sz="0" w:space="0" w:color="auto"/>
                        <w:bottom w:val="none" w:sz="0" w:space="0" w:color="auto"/>
                        <w:right w:val="none" w:sz="0" w:space="0" w:color="auto"/>
                      </w:divBdr>
                      <w:divsChild>
                        <w:div w:id="1464729980">
                          <w:marLeft w:val="0"/>
                          <w:marRight w:val="0"/>
                          <w:marTop w:val="0"/>
                          <w:marBottom w:val="0"/>
                          <w:divBdr>
                            <w:top w:val="none" w:sz="0" w:space="0" w:color="auto"/>
                            <w:left w:val="none" w:sz="0" w:space="0" w:color="auto"/>
                            <w:bottom w:val="none" w:sz="0" w:space="0" w:color="auto"/>
                            <w:right w:val="none" w:sz="0" w:space="0" w:color="auto"/>
                          </w:divBdr>
                          <w:divsChild>
                            <w:div w:id="150276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178300">
      <w:bodyDiv w:val="1"/>
      <w:marLeft w:val="0"/>
      <w:marRight w:val="0"/>
      <w:marTop w:val="0"/>
      <w:marBottom w:val="0"/>
      <w:divBdr>
        <w:top w:val="none" w:sz="0" w:space="0" w:color="auto"/>
        <w:left w:val="none" w:sz="0" w:space="0" w:color="auto"/>
        <w:bottom w:val="none" w:sz="0" w:space="0" w:color="auto"/>
        <w:right w:val="none" w:sz="0" w:space="0" w:color="auto"/>
      </w:divBdr>
      <w:divsChild>
        <w:div w:id="1430738211">
          <w:marLeft w:val="0"/>
          <w:marRight w:val="0"/>
          <w:marTop w:val="0"/>
          <w:marBottom w:val="0"/>
          <w:divBdr>
            <w:top w:val="none" w:sz="0" w:space="0" w:color="auto"/>
            <w:left w:val="none" w:sz="0" w:space="0" w:color="auto"/>
            <w:bottom w:val="none" w:sz="0" w:space="0" w:color="auto"/>
            <w:right w:val="none" w:sz="0" w:space="0" w:color="auto"/>
          </w:divBdr>
          <w:divsChild>
            <w:div w:id="1557426680">
              <w:marLeft w:val="0"/>
              <w:marRight w:val="0"/>
              <w:marTop w:val="0"/>
              <w:marBottom w:val="0"/>
              <w:divBdr>
                <w:top w:val="none" w:sz="0" w:space="0" w:color="auto"/>
                <w:left w:val="none" w:sz="0" w:space="0" w:color="auto"/>
                <w:bottom w:val="none" w:sz="0" w:space="0" w:color="auto"/>
                <w:right w:val="none" w:sz="0" w:space="0" w:color="auto"/>
              </w:divBdr>
              <w:divsChild>
                <w:div w:id="642778128">
                  <w:marLeft w:val="0"/>
                  <w:marRight w:val="0"/>
                  <w:marTop w:val="0"/>
                  <w:marBottom w:val="0"/>
                  <w:divBdr>
                    <w:top w:val="none" w:sz="0" w:space="0" w:color="auto"/>
                    <w:left w:val="none" w:sz="0" w:space="0" w:color="auto"/>
                    <w:bottom w:val="none" w:sz="0" w:space="0" w:color="auto"/>
                    <w:right w:val="none" w:sz="0" w:space="0" w:color="auto"/>
                  </w:divBdr>
                  <w:divsChild>
                    <w:div w:id="1097794875">
                      <w:marLeft w:val="0"/>
                      <w:marRight w:val="0"/>
                      <w:marTop w:val="0"/>
                      <w:marBottom w:val="0"/>
                      <w:divBdr>
                        <w:top w:val="none" w:sz="0" w:space="0" w:color="auto"/>
                        <w:left w:val="none" w:sz="0" w:space="0" w:color="auto"/>
                        <w:bottom w:val="none" w:sz="0" w:space="0" w:color="auto"/>
                        <w:right w:val="none" w:sz="0" w:space="0" w:color="auto"/>
                      </w:divBdr>
                      <w:divsChild>
                        <w:div w:id="44068963">
                          <w:marLeft w:val="0"/>
                          <w:marRight w:val="0"/>
                          <w:marTop w:val="0"/>
                          <w:marBottom w:val="0"/>
                          <w:divBdr>
                            <w:top w:val="none" w:sz="0" w:space="0" w:color="auto"/>
                            <w:left w:val="none" w:sz="0" w:space="0" w:color="auto"/>
                            <w:bottom w:val="none" w:sz="0" w:space="0" w:color="auto"/>
                            <w:right w:val="none" w:sz="0" w:space="0" w:color="auto"/>
                          </w:divBdr>
                          <w:divsChild>
                            <w:div w:id="5651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825468">
      <w:bodyDiv w:val="1"/>
      <w:marLeft w:val="0"/>
      <w:marRight w:val="0"/>
      <w:marTop w:val="0"/>
      <w:marBottom w:val="0"/>
      <w:divBdr>
        <w:top w:val="none" w:sz="0" w:space="0" w:color="auto"/>
        <w:left w:val="none" w:sz="0" w:space="0" w:color="auto"/>
        <w:bottom w:val="none" w:sz="0" w:space="0" w:color="auto"/>
        <w:right w:val="none" w:sz="0" w:space="0" w:color="auto"/>
      </w:divBdr>
      <w:divsChild>
        <w:div w:id="735278410">
          <w:marLeft w:val="0"/>
          <w:marRight w:val="0"/>
          <w:marTop w:val="0"/>
          <w:marBottom w:val="0"/>
          <w:divBdr>
            <w:top w:val="none" w:sz="0" w:space="0" w:color="auto"/>
            <w:left w:val="none" w:sz="0" w:space="0" w:color="auto"/>
            <w:bottom w:val="none" w:sz="0" w:space="0" w:color="auto"/>
            <w:right w:val="none" w:sz="0" w:space="0" w:color="auto"/>
          </w:divBdr>
          <w:divsChild>
            <w:div w:id="247808576">
              <w:marLeft w:val="0"/>
              <w:marRight w:val="0"/>
              <w:marTop w:val="0"/>
              <w:marBottom w:val="0"/>
              <w:divBdr>
                <w:top w:val="none" w:sz="0" w:space="0" w:color="auto"/>
                <w:left w:val="none" w:sz="0" w:space="0" w:color="auto"/>
                <w:bottom w:val="none" w:sz="0" w:space="0" w:color="auto"/>
                <w:right w:val="none" w:sz="0" w:space="0" w:color="auto"/>
              </w:divBdr>
              <w:divsChild>
                <w:div w:id="1405102256">
                  <w:marLeft w:val="0"/>
                  <w:marRight w:val="0"/>
                  <w:marTop w:val="0"/>
                  <w:marBottom w:val="0"/>
                  <w:divBdr>
                    <w:top w:val="none" w:sz="0" w:space="0" w:color="auto"/>
                    <w:left w:val="none" w:sz="0" w:space="0" w:color="auto"/>
                    <w:bottom w:val="none" w:sz="0" w:space="0" w:color="auto"/>
                    <w:right w:val="none" w:sz="0" w:space="0" w:color="auto"/>
                  </w:divBdr>
                  <w:divsChild>
                    <w:div w:id="196234077">
                      <w:marLeft w:val="0"/>
                      <w:marRight w:val="0"/>
                      <w:marTop w:val="0"/>
                      <w:marBottom w:val="0"/>
                      <w:divBdr>
                        <w:top w:val="none" w:sz="0" w:space="0" w:color="auto"/>
                        <w:left w:val="none" w:sz="0" w:space="0" w:color="auto"/>
                        <w:bottom w:val="none" w:sz="0" w:space="0" w:color="auto"/>
                        <w:right w:val="none" w:sz="0" w:space="0" w:color="auto"/>
                      </w:divBdr>
                      <w:divsChild>
                        <w:div w:id="778717740">
                          <w:marLeft w:val="0"/>
                          <w:marRight w:val="0"/>
                          <w:marTop w:val="0"/>
                          <w:marBottom w:val="0"/>
                          <w:divBdr>
                            <w:top w:val="none" w:sz="0" w:space="0" w:color="auto"/>
                            <w:left w:val="none" w:sz="0" w:space="0" w:color="auto"/>
                            <w:bottom w:val="none" w:sz="0" w:space="0" w:color="auto"/>
                            <w:right w:val="none" w:sz="0" w:space="0" w:color="auto"/>
                          </w:divBdr>
                          <w:divsChild>
                            <w:div w:id="87033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298889">
      <w:bodyDiv w:val="1"/>
      <w:marLeft w:val="0"/>
      <w:marRight w:val="0"/>
      <w:marTop w:val="0"/>
      <w:marBottom w:val="0"/>
      <w:divBdr>
        <w:top w:val="none" w:sz="0" w:space="0" w:color="auto"/>
        <w:left w:val="none" w:sz="0" w:space="0" w:color="auto"/>
        <w:bottom w:val="none" w:sz="0" w:space="0" w:color="auto"/>
        <w:right w:val="none" w:sz="0" w:space="0" w:color="auto"/>
      </w:divBdr>
      <w:divsChild>
        <w:div w:id="2147316295">
          <w:marLeft w:val="0"/>
          <w:marRight w:val="0"/>
          <w:marTop w:val="0"/>
          <w:marBottom w:val="0"/>
          <w:divBdr>
            <w:top w:val="none" w:sz="0" w:space="0" w:color="auto"/>
            <w:left w:val="none" w:sz="0" w:space="0" w:color="auto"/>
            <w:bottom w:val="none" w:sz="0" w:space="0" w:color="auto"/>
            <w:right w:val="none" w:sz="0" w:space="0" w:color="auto"/>
          </w:divBdr>
          <w:divsChild>
            <w:div w:id="1904901382">
              <w:marLeft w:val="0"/>
              <w:marRight w:val="0"/>
              <w:marTop w:val="0"/>
              <w:marBottom w:val="0"/>
              <w:divBdr>
                <w:top w:val="none" w:sz="0" w:space="0" w:color="auto"/>
                <w:left w:val="none" w:sz="0" w:space="0" w:color="auto"/>
                <w:bottom w:val="none" w:sz="0" w:space="0" w:color="auto"/>
                <w:right w:val="none" w:sz="0" w:space="0" w:color="auto"/>
              </w:divBdr>
              <w:divsChild>
                <w:div w:id="1587693863">
                  <w:marLeft w:val="0"/>
                  <w:marRight w:val="0"/>
                  <w:marTop w:val="0"/>
                  <w:marBottom w:val="0"/>
                  <w:divBdr>
                    <w:top w:val="none" w:sz="0" w:space="0" w:color="auto"/>
                    <w:left w:val="none" w:sz="0" w:space="0" w:color="auto"/>
                    <w:bottom w:val="none" w:sz="0" w:space="0" w:color="auto"/>
                    <w:right w:val="none" w:sz="0" w:space="0" w:color="auto"/>
                  </w:divBdr>
                  <w:divsChild>
                    <w:div w:id="290868602">
                      <w:marLeft w:val="0"/>
                      <w:marRight w:val="0"/>
                      <w:marTop w:val="0"/>
                      <w:marBottom w:val="0"/>
                      <w:divBdr>
                        <w:top w:val="none" w:sz="0" w:space="0" w:color="auto"/>
                        <w:left w:val="none" w:sz="0" w:space="0" w:color="auto"/>
                        <w:bottom w:val="none" w:sz="0" w:space="0" w:color="auto"/>
                        <w:right w:val="none" w:sz="0" w:space="0" w:color="auto"/>
                      </w:divBdr>
                      <w:divsChild>
                        <w:div w:id="2046714951">
                          <w:marLeft w:val="0"/>
                          <w:marRight w:val="0"/>
                          <w:marTop w:val="0"/>
                          <w:marBottom w:val="0"/>
                          <w:divBdr>
                            <w:top w:val="none" w:sz="0" w:space="0" w:color="auto"/>
                            <w:left w:val="none" w:sz="0" w:space="0" w:color="auto"/>
                            <w:bottom w:val="none" w:sz="0" w:space="0" w:color="auto"/>
                            <w:right w:val="none" w:sz="0" w:space="0" w:color="auto"/>
                          </w:divBdr>
                          <w:divsChild>
                            <w:div w:id="203745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333244">
      <w:bodyDiv w:val="1"/>
      <w:marLeft w:val="0"/>
      <w:marRight w:val="0"/>
      <w:marTop w:val="0"/>
      <w:marBottom w:val="0"/>
      <w:divBdr>
        <w:top w:val="none" w:sz="0" w:space="0" w:color="auto"/>
        <w:left w:val="none" w:sz="0" w:space="0" w:color="auto"/>
        <w:bottom w:val="none" w:sz="0" w:space="0" w:color="auto"/>
        <w:right w:val="none" w:sz="0" w:space="0" w:color="auto"/>
      </w:divBdr>
      <w:divsChild>
        <w:div w:id="1681011000">
          <w:marLeft w:val="0"/>
          <w:marRight w:val="0"/>
          <w:marTop w:val="0"/>
          <w:marBottom w:val="0"/>
          <w:divBdr>
            <w:top w:val="none" w:sz="0" w:space="0" w:color="auto"/>
            <w:left w:val="none" w:sz="0" w:space="0" w:color="auto"/>
            <w:bottom w:val="none" w:sz="0" w:space="0" w:color="auto"/>
            <w:right w:val="none" w:sz="0" w:space="0" w:color="auto"/>
          </w:divBdr>
          <w:divsChild>
            <w:div w:id="707683414">
              <w:marLeft w:val="0"/>
              <w:marRight w:val="0"/>
              <w:marTop w:val="0"/>
              <w:marBottom w:val="0"/>
              <w:divBdr>
                <w:top w:val="none" w:sz="0" w:space="0" w:color="auto"/>
                <w:left w:val="none" w:sz="0" w:space="0" w:color="auto"/>
                <w:bottom w:val="none" w:sz="0" w:space="0" w:color="auto"/>
                <w:right w:val="none" w:sz="0" w:space="0" w:color="auto"/>
              </w:divBdr>
              <w:divsChild>
                <w:div w:id="765228355">
                  <w:marLeft w:val="0"/>
                  <w:marRight w:val="0"/>
                  <w:marTop w:val="0"/>
                  <w:marBottom w:val="0"/>
                  <w:divBdr>
                    <w:top w:val="none" w:sz="0" w:space="0" w:color="auto"/>
                    <w:left w:val="none" w:sz="0" w:space="0" w:color="auto"/>
                    <w:bottom w:val="none" w:sz="0" w:space="0" w:color="auto"/>
                    <w:right w:val="none" w:sz="0" w:space="0" w:color="auto"/>
                  </w:divBdr>
                  <w:divsChild>
                    <w:div w:id="1596475785">
                      <w:marLeft w:val="0"/>
                      <w:marRight w:val="0"/>
                      <w:marTop w:val="0"/>
                      <w:marBottom w:val="0"/>
                      <w:divBdr>
                        <w:top w:val="none" w:sz="0" w:space="0" w:color="auto"/>
                        <w:left w:val="none" w:sz="0" w:space="0" w:color="auto"/>
                        <w:bottom w:val="none" w:sz="0" w:space="0" w:color="auto"/>
                        <w:right w:val="none" w:sz="0" w:space="0" w:color="auto"/>
                      </w:divBdr>
                      <w:divsChild>
                        <w:div w:id="1785689826">
                          <w:marLeft w:val="0"/>
                          <w:marRight w:val="0"/>
                          <w:marTop w:val="0"/>
                          <w:marBottom w:val="0"/>
                          <w:divBdr>
                            <w:top w:val="none" w:sz="0" w:space="0" w:color="auto"/>
                            <w:left w:val="none" w:sz="0" w:space="0" w:color="auto"/>
                            <w:bottom w:val="none" w:sz="0" w:space="0" w:color="auto"/>
                            <w:right w:val="none" w:sz="0" w:space="0" w:color="auto"/>
                          </w:divBdr>
                          <w:divsChild>
                            <w:div w:id="428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477221">
      <w:bodyDiv w:val="1"/>
      <w:marLeft w:val="0"/>
      <w:marRight w:val="0"/>
      <w:marTop w:val="0"/>
      <w:marBottom w:val="0"/>
      <w:divBdr>
        <w:top w:val="none" w:sz="0" w:space="0" w:color="auto"/>
        <w:left w:val="none" w:sz="0" w:space="0" w:color="auto"/>
        <w:bottom w:val="none" w:sz="0" w:space="0" w:color="auto"/>
        <w:right w:val="none" w:sz="0" w:space="0" w:color="auto"/>
      </w:divBdr>
      <w:divsChild>
        <w:div w:id="1171601714">
          <w:marLeft w:val="0"/>
          <w:marRight w:val="0"/>
          <w:marTop w:val="0"/>
          <w:marBottom w:val="0"/>
          <w:divBdr>
            <w:top w:val="none" w:sz="0" w:space="0" w:color="auto"/>
            <w:left w:val="none" w:sz="0" w:space="0" w:color="auto"/>
            <w:bottom w:val="none" w:sz="0" w:space="0" w:color="auto"/>
            <w:right w:val="none" w:sz="0" w:space="0" w:color="auto"/>
          </w:divBdr>
          <w:divsChild>
            <w:div w:id="2128886666">
              <w:marLeft w:val="0"/>
              <w:marRight w:val="0"/>
              <w:marTop w:val="0"/>
              <w:marBottom w:val="0"/>
              <w:divBdr>
                <w:top w:val="none" w:sz="0" w:space="0" w:color="auto"/>
                <w:left w:val="none" w:sz="0" w:space="0" w:color="auto"/>
                <w:bottom w:val="none" w:sz="0" w:space="0" w:color="auto"/>
                <w:right w:val="none" w:sz="0" w:space="0" w:color="auto"/>
              </w:divBdr>
              <w:divsChild>
                <w:div w:id="1717965722">
                  <w:marLeft w:val="0"/>
                  <w:marRight w:val="0"/>
                  <w:marTop w:val="0"/>
                  <w:marBottom w:val="0"/>
                  <w:divBdr>
                    <w:top w:val="none" w:sz="0" w:space="0" w:color="auto"/>
                    <w:left w:val="none" w:sz="0" w:space="0" w:color="auto"/>
                    <w:bottom w:val="none" w:sz="0" w:space="0" w:color="auto"/>
                    <w:right w:val="none" w:sz="0" w:space="0" w:color="auto"/>
                  </w:divBdr>
                  <w:divsChild>
                    <w:div w:id="1470005079">
                      <w:marLeft w:val="0"/>
                      <w:marRight w:val="0"/>
                      <w:marTop w:val="0"/>
                      <w:marBottom w:val="0"/>
                      <w:divBdr>
                        <w:top w:val="none" w:sz="0" w:space="0" w:color="auto"/>
                        <w:left w:val="none" w:sz="0" w:space="0" w:color="auto"/>
                        <w:bottom w:val="none" w:sz="0" w:space="0" w:color="auto"/>
                        <w:right w:val="none" w:sz="0" w:space="0" w:color="auto"/>
                      </w:divBdr>
                      <w:divsChild>
                        <w:div w:id="396589163">
                          <w:marLeft w:val="0"/>
                          <w:marRight w:val="0"/>
                          <w:marTop w:val="0"/>
                          <w:marBottom w:val="0"/>
                          <w:divBdr>
                            <w:top w:val="none" w:sz="0" w:space="0" w:color="auto"/>
                            <w:left w:val="none" w:sz="0" w:space="0" w:color="auto"/>
                            <w:bottom w:val="none" w:sz="0" w:space="0" w:color="auto"/>
                            <w:right w:val="none" w:sz="0" w:space="0" w:color="auto"/>
                          </w:divBdr>
                          <w:divsChild>
                            <w:div w:id="209146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432254">
      <w:bodyDiv w:val="1"/>
      <w:marLeft w:val="0"/>
      <w:marRight w:val="0"/>
      <w:marTop w:val="0"/>
      <w:marBottom w:val="0"/>
      <w:divBdr>
        <w:top w:val="none" w:sz="0" w:space="0" w:color="auto"/>
        <w:left w:val="none" w:sz="0" w:space="0" w:color="auto"/>
        <w:bottom w:val="none" w:sz="0" w:space="0" w:color="auto"/>
        <w:right w:val="none" w:sz="0" w:space="0" w:color="auto"/>
      </w:divBdr>
      <w:divsChild>
        <w:div w:id="935090367">
          <w:marLeft w:val="0"/>
          <w:marRight w:val="0"/>
          <w:marTop w:val="0"/>
          <w:marBottom w:val="0"/>
          <w:divBdr>
            <w:top w:val="none" w:sz="0" w:space="0" w:color="auto"/>
            <w:left w:val="none" w:sz="0" w:space="0" w:color="auto"/>
            <w:bottom w:val="none" w:sz="0" w:space="0" w:color="auto"/>
            <w:right w:val="none" w:sz="0" w:space="0" w:color="auto"/>
          </w:divBdr>
          <w:divsChild>
            <w:div w:id="513611796">
              <w:marLeft w:val="0"/>
              <w:marRight w:val="0"/>
              <w:marTop w:val="0"/>
              <w:marBottom w:val="0"/>
              <w:divBdr>
                <w:top w:val="none" w:sz="0" w:space="0" w:color="auto"/>
                <w:left w:val="none" w:sz="0" w:space="0" w:color="auto"/>
                <w:bottom w:val="none" w:sz="0" w:space="0" w:color="auto"/>
                <w:right w:val="none" w:sz="0" w:space="0" w:color="auto"/>
              </w:divBdr>
              <w:divsChild>
                <w:div w:id="1225069080">
                  <w:marLeft w:val="0"/>
                  <w:marRight w:val="0"/>
                  <w:marTop w:val="0"/>
                  <w:marBottom w:val="0"/>
                  <w:divBdr>
                    <w:top w:val="none" w:sz="0" w:space="0" w:color="auto"/>
                    <w:left w:val="none" w:sz="0" w:space="0" w:color="auto"/>
                    <w:bottom w:val="none" w:sz="0" w:space="0" w:color="auto"/>
                    <w:right w:val="none" w:sz="0" w:space="0" w:color="auto"/>
                  </w:divBdr>
                  <w:divsChild>
                    <w:div w:id="1066296452">
                      <w:marLeft w:val="0"/>
                      <w:marRight w:val="0"/>
                      <w:marTop w:val="0"/>
                      <w:marBottom w:val="0"/>
                      <w:divBdr>
                        <w:top w:val="none" w:sz="0" w:space="0" w:color="auto"/>
                        <w:left w:val="none" w:sz="0" w:space="0" w:color="auto"/>
                        <w:bottom w:val="none" w:sz="0" w:space="0" w:color="auto"/>
                        <w:right w:val="none" w:sz="0" w:space="0" w:color="auto"/>
                      </w:divBdr>
                      <w:divsChild>
                        <w:div w:id="1074429379">
                          <w:marLeft w:val="0"/>
                          <w:marRight w:val="0"/>
                          <w:marTop w:val="0"/>
                          <w:marBottom w:val="0"/>
                          <w:divBdr>
                            <w:top w:val="none" w:sz="0" w:space="0" w:color="auto"/>
                            <w:left w:val="none" w:sz="0" w:space="0" w:color="auto"/>
                            <w:bottom w:val="none" w:sz="0" w:space="0" w:color="auto"/>
                            <w:right w:val="none" w:sz="0" w:space="0" w:color="auto"/>
                          </w:divBdr>
                          <w:divsChild>
                            <w:div w:id="8473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510389">
      <w:bodyDiv w:val="1"/>
      <w:marLeft w:val="0"/>
      <w:marRight w:val="0"/>
      <w:marTop w:val="0"/>
      <w:marBottom w:val="0"/>
      <w:divBdr>
        <w:top w:val="none" w:sz="0" w:space="0" w:color="auto"/>
        <w:left w:val="none" w:sz="0" w:space="0" w:color="auto"/>
        <w:bottom w:val="none" w:sz="0" w:space="0" w:color="auto"/>
        <w:right w:val="none" w:sz="0" w:space="0" w:color="auto"/>
      </w:divBdr>
      <w:divsChild>
        <w:div w:id="2005468703">
          <w:marLeft w:val="0"/>
          <w:marRight w:val="0"/>
          <w:marTop w:val="0"/>
          <w:marBottom w:val="0"/>
          <w:divBdr>
            <w:top w:val="none" w:sz="0" w:space="0" w:color="auto"/>
            <w:left w:val="none" w:sz="0" w:space="0" w:color="auto"/>
            <w:bottom w:val="none" w:sz="0" w:space="0" w:color="auto"/>
            <w:right w:val="none" w:sz="0" w:space="0" w:color="auto"/>
          </w:divBdr>
          <w:divsChild>
            <w:div w:id="1822304108">
              <w:marLeft w:val="0"/>
              <w:marRight w:val="0"/>
              <w:marTop w:val="0"/>
              <w:marBottom w:val="0"/>
              <w:divBdr>
                <w:top w:val="none" w:sz="0" w:space="0" w:color="auto"/>
                <w:left w:val="none" w:sz="0" w:space="0" w:color="auto"/>
                <w:bottom w:val="none" w:sz="0" w:space="0" w:color="auto"/>
                <w:right w:val="none" w:sz="0" w:space="0" w:color="auto"/>
              </w:divBdr>
              <w:divsChild>
                <w:div w:id="2085375381">
                  <w:marLeft w:val="0"/>
                  <w:marRight w:val="0"/>
                  <w:marTop w:val="0"/>
                  <w:marBottom w:val="0"/>
                  <w:divBdr>
                    <w:top w:val="none" w:sz="0" w:space="0" w:color="auto"/>
                    <w:left w:val="none" w:sz="0" w:space="0" w:color="auto"/>
                    <w:bottom w:val="none" w:sz="0" w:space="0" w:color="auto"/>
                    <w:right w:val="none" w:sz="0" w:space="0" w:color="auto"/>
                  </w:divBdr>
                  <w:divsChild>
                    <w:div w:id="148981658">
                      <w:marLeft w:val="0"/>
                      <w:marRight w:val="0"/>
                      <w:marTop w:val="0"/>
                      <w:marBottom w:val="0"/>
                      <w:divBdr>
                        <w:top w:val="none" w:sz="0" w:space="0" w:color="auto"/>
                        <w:left w:val="none" w:sz="0" w:space="0" w:color="auto"/>
                        <w:bottom w:val="none" w:sz="0" w:space="0" w:color="auto"/>
                        <w:right w:val="none" w:sz="0" w:space="0" w:color="auto"/>
                      </w:divBdr>
                      <w:divsChild>
                        <w:div w:id="1410418106">
                          <w:marLeft w:val="0"/>
                          <w:marRight w:val="0"/>
                          <w:marTop w:val="0"/>
                          <w:marBottom w:val="0"/>
                          <w:divBdr>
                            <w:top w:val="none" w:sz="0" w:space="0" w:color="auto"/>
                            <w:left w:val="none" w:sz="0" w:space="0" w:color="auto"/>
                            <w:bottom w:val="none" w:sz="0" w:space="0" w:color="auto"/>
                            <w:right w:val="none" w:sz="0" w:space="0" w:color="auto"/>
                          </w:divBdr>
                          <w:divsChild>
                            <w:div w:id="99680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971656">
      <w:bodyDiv w:val="1"/>
      <w:marLeft w:val="0"/>
      <w:marRight w:val="0"/>
      <w:marTop w:val="0"/>
      <w:marBottom w:val="0"/>
      <w:divBdr>
        <w:top w:val="none" w:sz="0" w:space="0" w:color="auto"/>
        <w:left w:val="none" w:sz="0" w:space="0" w:color="auto"/>
        <w:bottom w:val="none" w:sz="0" w:space="0" w:color="auto"/>
        <w:right w:val="none" w:sz="0" w:space="0" w:color="auto"/>
      </w:divBdr>
      <w:divsChild>
        <w:div w:id="1955866172">
          <w:marLeft w:val="0"/>
          <w:marRight w:val="0"/>
          <w:marTop w:val="0"/>
          <w:marBottom w:val="0"/>
          <w:divBdr>
            <w:top w:val="none" w:sz="0" w:space="0" w:color="auto"/>
            <w:left w:val="none" w:sz="0" w:space="0" w:color="auto"/>
            <w:bottom w:val="none" w:sz="0" w:space="0" w:color="auto"/>
            <w:right w:val="none" w:sz="0" w:space="0" w:color="auto"/>
          </w:divBdr>
          <w:divsChild>
            <w:div w:id="1810004443">
              <w:marLeft w:val="0"/>
              <w:marRight w:val="0"/>
              <w:marTop w:val="0"/>
              <w:marBottom w:val="0"/>
              <w:divBdr>
                <w:top w:val="none" w:sz="0" w:space="0" w:color="auto"/>
                <w:left w:val="none" w:sz="0" w:space="0" w:color="auto"/>
                <w:bottom w:val="none" w:sz="0" w:space="0" w:color="auto"/>
                <w:right w:val="none" w:sz="0" w:space="0" w:color="auto"/>
              </w:divBdr>
              <w:divsChild>
                <w:div w:id="171992244">
                  <w:marLeft w:val="0"/>
                  <w:marRight w:val="0"/>
                  <w:marTop w:val="0"/>
                  <w:marBottom w:val="0"/>
                  <w:divBdr>
                    <w:top w:val="none" w:sz="0" w:space="0" w:color="auto"/>
                    <w:left w:val="none" w:sz="0" w:space="0" w:color="auto"/>
                    <w:bottom w:val="none" w:sz="0" w:space="0" w:color="auto"/>
                    <w:right w:val="none" w:sz="0" w:space="0" w:color="auto"/>
                  </w:divBdr>
                  <w:divsChild>
                    <w:div w:id="1206719226">
                      <w:marLeft w:val="0"/>
                      <w:marRight w:val="0"/>
                      <w:marTop w:val="0"/>
                      <w:marBottom w:val="0"/>
                      <w:divBdr>
                        <w:top w:val="none" w:sz="0" w:space="0" w:color="auto"/>
                        <w:left w:val="none" w:sz="0" w:space="0" w:color="auto"/>
                        <w:bottom w:val="none" w:sz="0" w:space="0" w:color="auto"/>
                        <w:right w:val="none" w:sz="0" w:space="0" w:color="auto"/>
                      </w:divBdr>
                      <w:divsChild>
                        <w:div w:id="1749762371">
                          <w:marLeft w:val="0"/>
                          <w:marRight w:val="0"/>
                          <w:marTop w:val="0"/>
                          <w:marBottom w:val="0"/>
                          <w:divBdr>
                            <w:top w:val="none" w:sz="0" w:space="0" w:color="auto"/>
                            <w:left w:val="none" w:sz="0" w:space="0" w:color="auto"/>
                            <w:bottom w:val="none" w:sz="0" w:space="0" w:color="auto"/>
                            <w:right w:val="none" w:sz="0" w:space="0" w:color="auto"/>
                          </w:divBdr>
                          <w:divsChild>
                            <w:div w:id="15089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107241">
      <w:bodyDiv w:val="1"/>
      <w:marLeft w:val="0"/>
      <w:marRight w:val="0"/>
      <w:marTop w:val="0"/>
      <w:marBottom w:val="0"/>
      <w:divBdr>
        <w:top w:val="none" w:sz="0" w:space="0" w:color="auto"/>
        <w:left w:val="none" w:sz="0" w:space="0" w:color="auto"/>
        <w:bottom w:val="none" w:sz="0" w:space="0" w:color="auto"/>
        <w:right w:val="none" w:sz="0" w:space="0" w:color="auto"/>
      </w:divBdr>
      <w:divsChild>
        <w:div w:id="1760061062">
          <w:marLeft w:val="0"/>
          <w:marRight w:val="0"/>
          <w:marTop w:val="0"/>
          <w:marBottom w:val="0"/>
          <w:divBdr>
            <w:top w:val="none" w:sz="0" w:space="0" w:color="auto"/>
            <w:left w:val="none" w:sz="0" w:space="0" w:color="auto"/>
            <w:bottom w:val="none" w:sz="0" w:space="0" w:color="auto"/>
            <w:right w:val="none" w:sz="0" w:space="0" w:color="auto"/>
          </w:divBdr>
          <w:divsChild>
            <w:div w:id="2073044270">
              <w:marLeft w:val="0"/>
              <w:marRight w:val="0"/>
              <w:marTop w:val="0"/>
              <w:marBottom w:val="0"/>
              <w:divBdr>
                <w:top w:val="none" w:sz="0" w:space="0" w:color="auto"/>
                <w:left w:val="none" w:sz="0" w:space="0" w:color="auto"/>
                <w:bottom w:val="none" w:sz="0" w:space="0" w:color="auto"/>
                <w:right w:val="none" w:sz="0" w:space="0" w:color="auto"/>
              </w:divBdr>
              <w:divsChild>
                <w:div w:id="1656447907">
                  <w:marLeft w:val="0"/>
                  <w:marRight w:val="0"/>
                  <w:marTop w:val="0"/>
                  <w:marBottom w:val="0"/>
                  <w:divBdr>
                    <w:top w:val="none" w:sz="0" w:space="0" w:color="auto"/>
                    <w:left w:val="none" w:sz="0" w:space="0" w:color="auto"/>
                    <w:bottom w:val="none" w:sz="0" w:space="0" w:color="auto"/>
                    <w:right w:val="none" w:sz="0" w:space="0" w:color="auto"/>
                  </w:divBdr>
                  <w:divsChild>
                    <w:div w:id="1227297739">
                      <w:marLeft w:val="0"/>
                      <w:marRight w:val="0"/>
                      <w:marTop w:val="0"/>
                      <w:marBottom w:val="0"/>
                      <w:divBdr>
                        <w:top w:val="none" w:sz="0" w:space="0" w:color="auto"/>
                        <w:left w:val="none" w:sz="0" w:space="0" w:color="auto"/>
                        <w:bottom w:val="none" w:sz="0" w:space="0" w:color="auto"/>
                        <w:right w:val="none" w:sz="0" w:space="0" w:color="auto"/>
                      </w:divBdr>
                      <w:divsChild>
                        <w:div w:id="975523557">
                          <w:marLeft w:val="0"/>
                          <w:marRight w:val="0"/>
                          <w:marTop w:val="0"/>
                          <w:marBottom w:val="0"/>
                          <w:divBdr>
                            <w:top w:val="none" w:sz="0" w:space="0" w:color="auto"/>
                            <w:left w:val="none" w:sz="0" w:space="0" w:color="auto"/>
                            <w:bottom w:val="none" w:sz="0" w:space="0" w:color="auto"/>
                            <w:right w:val="none" w:sz="0" w:space="0" w:color="auto"/>
                          </w:divBdr>
                          <w:divsChild>
                            <w:div w:id="59182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870861">
      <w:bodyDiv w:val="1"/>
      <w:marLeft w:val="0"/>
      <w:marRight w:val="0"/>
      <w:marTop w:val="0"/>
      <w:marBottom w:val="0"/>
      <w:divBdr>
        <w:top w:val="none" w:sz="0" w:space="0" w:color="auto"/>
        <w:left w:val="none" w:sz="0" w:space="0" w:color="auto"/>
        <w:bottom w:val="none" w:sz="0" w:space="0" w:color="auto"/>
        <w:right w:val="none" w:sz="0" w:space="0" w:color="auto"/>
      </w:divBdr>
      <w:divsChild>
        <w:div w:id="103430744">
          <w:marLeft w:val="0"/>
          <w:marRight w:val="0"/>
          <w:marTop w:val="0"/>
          <w:marBottom w:val="0"/>
          <w:divBdr>
            <w:top w:val="none" w:sz="0" w:space="0" w:color="auto"/>
            <w:left w:val="none" w:sz="0" w:space="0" w:color="auto"/>
            <w:bottom w:val="none" w:sz="0" w:space="0" w:color="auto"/>
            <w:right w:val="none" w:sz="0" w:space="0" w:color="auto"/>
          </w:divBdr>
          <w:divsChild>
            <w:div w:id="347945304">
              <w:marLeft w:val="0"/>
              <w:marRight w:val="0"/>
              <w:marTop w:val="0"/>
              <w:marBottom w:val="0"/>
              <w:divBdr>
                <w:top w:val="none" w:sz="0" w:space="0" w:color="auto"/>
                <w:left w:val="none" w:sz="0" w:space="0" w:color="auto"/>
                <w:bottom w:val="none" w:sz="0" w:space="0" w:color="auto"/>
                <w:right w:val="none" w:sz="0" w:space="0" w:color="auto"/>
              </w:divBdr>
              <w:divsChild>
                <w:div w:id="1169714204">
                  <w:marLeft w:val="0"/>
                  <w:marRight w:val="0"/>
                  <w:marTop w:val="0"/>
                  <w:marBottom w:val="0"/>
                  <w:divBdr>
                    <w:top w:val="none" w:sz="0" w:space="0" w:color="auto"/>
                    <w:left w:val="none" w:sz="0" w:space="0" w:color="auto"/>
                    <w:bottom w:val="none" w:sz="0" w:space="0" w:color="auto"/>
                    <w:right w:val="none" w:sz="0" w:space="0" w:color="auto"/>
                  </w:divBdr>
                  <w:divsChild>
                    <w:div w:id="118885248">
                      <w:marLeft w:val="0"/>
                      <w:marRight w:val="0"/>
                      <w:marTop w:val="0"/>
                      <w:marBottom w:val="0"/>
                      <w:divBdr>
                        <w:top w:val="none" w:sz="0" w:space="0" w:color="auto"/>
                        <w:left w:val="none" w:sz="0" w:space="0" w:color="auto"/>
                        <w:bottom w:val="none" w:sz="0" w:space="0" w:color="auto"/>
                        <w:right w:val="none" w:sz="0" w:space="0" w:color="auto"/>
                      </w:divBdr>
                      <w:divsChild>
                        <w:div w:id="2077195219">
                          <w:marLeft w:val="0"/>
                          <w:marRight w:val="0"/>
                          <w:marTop w:val="0"/>
                          <w:marBottom w:val="0"/>
                          <w:divBdr>
                            <w:top w:val="none" w:sz="0" w:space="0" w:color="auto"/>
                            <w:left w:val="none" w:sz="0" w:space="0" w:color="auto"/>
                            <w:bottom w:val="none" w:sz="0" w:space="0" w:color="auto"/>
                            <w:right w:val="none" w:sz="0" w:space="0" w:color="auto"/>
                          </w:divBdr>
                          <w:divsChild>
                            <w:div w:id="8821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447666">
      <w:bodyDiv w:val="1"/>
      <w:marLeft w:val="0"/>
      <w:marRight w:val="0"/>
      <w:marTop w:val="0"/>
      <w:marBottom w:val="0"/>
      <w:divBdr>
        <w:top w:val="none" w:sz="0" w:space="0" w:color="auto"/>
        <w:left w:val="none" w:sz="0" w:space="0" w:color="auto"/>
        <w:bottom w:val="none" w:sz="0" w:space="0" w:color="auto"/>
        <w:right w:val="none" w:sz="0" w:space="0" w:color="auto"/>
      </w:divBdr>
      <w:divsChild>
        <w:div w:id="730813765">
          <w:marLeft w:val="0"/>
          <w:marRight w:val="0"/>
          <w:marTop w:val="0"/>
          <w:marBottom w:val="0"/>
          <w:divBdr>
            <w:top w:val="none" w:sz="0" w:space="0" w:color="auto"/>
            <w:left w:val="none" w:sz="0" w:space="0" w:color="auto"/>
            <w:bottom w:val="none" w:sz="0" w:space="0" w:color="auto"/>
            <w:right w:val="none" w:sz="0" w:space="0" w:color="auto"/>
          </w:divBdr>
          <w:divsChild>
            <w:div w:id="1169640915">
              <w:marLeft w:val="0"/>
              <w:marRight w:val="0"/>
              <w:marTop w:val="0"/>
              <w:marBottom w:val="0"/>
              <w:divBdr>
                <w:top w:val="none" w:sz="0" w:space="0" w:color="auto"/>
                <w:left w:val="none" w:sz="0" w:space="0" w:color="auto"/>
                <w:bottom w:val="none" w:sz="0" w:space="0" w:color="auto"/>
                <w:right w:val="none" w:sz="0" w:space="0" w:color="auto"/>
              </w:divBdr>
              <w:divsChild>
                <w:div w:id="477039982">
                  <w:marLeft w:val="0"/>
                  <w:marRight w:val="0"/>
                  <w:marTop w:val="0"/>
                  <w:marBottom w:val="0"/>
                  <w:divBdr>
                    <w:top w:val="none" w:sz="0" w:space="0" w:color="auto"/>
                    <w:left w:val="none" w:sz="0" w:space="0" w:color="auto"/>
                    <w:bottom w:val="none" w:sz="0" w:space="0" w:color="auto"/>
                    <w:right w:val="none" w:sz="0" w:space="0" w:color="auto"/>
                  </w:divBdr>
                  <w:divsChild>
                    <w:div w:id="1395355977">
                      <w:marLeft w:val="0"/>
                      <w:marRight w:val="0"/>
                      <w:marTop w:val="0"/>
                      <w:marBottom w:val="0"/>
                      <w:divBdr>
                        <w:top w:val="none" w:sz="0" w:space="0" w:color="auto"/>
                        <w:left w:val="none" w:sz="0" w:space="0" w:color="auto"/>
                        <w:bottom w:val="none" w:sz="0" w:space="0" w:color="auto"/>
                        <w:right w:val="none" w:sz="0" w:space="0" w:color="auto"/>
                      </w:divBdr>
                      <w:divsChild>
                        <w:div w:id="1560045484">
                          <w:marLeft w:val="0"/>
                          <w:marRight w:val="0"/>
                          <w:marTop w:val="0"/>
                          <w:marBottom w:val="0"/>
                          <w:divBdr>
                            <w:top w:val="none" w:sz="0" w:space="0" w:color="auto"/>
                            <w:left w:val="none" w:sz="0" w:space="0" w:color="auto"/>
                            <w:bottom w:val="none" w:sz="0" w:space="0" w:color="auto"/>
                            <w:right w:val="none" w:sz="0" w:space="0" w:color="auto"/>
                          </w:divBdr>
                          <w:divsChild>
                            <w:div w:id="93902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836351">
      <w:bodyDiv w:val="1"/>
      <w:marLeft w:val="0"/>
      <w:marRight w:val="0"/>
      <w:marTop w:val="0"/>
      <w:marBottom w:val="0"/>
      <w:divBdr>
        <w:top w:val="none" w:sz="0" w:space="0" w:color="auto"/>
        <w:left w:val="none" w:sz="0" w:space="0" w:color="auto"/>
        <w:bottom w:val="none" w:sz="0" w:space="0" w:color="auto"/>
        <w:right w:val="none" w:sz="0" w:space="0" w:color="auto"/>
      </w:divBdr>
      <w:divsChild>
        <w:div w:id="129372273">
          <w:marLeft w:val="0"/>
          <w:marRight w:val="0"/>
          <w:marTop w:val="0"/>
          <w:marBottom w:val="0"/>
          <w:divBdr>
            <w:top w:val="none" w:sz="0" w:space="0" w:color="auto"/>
            <w:left w:val="none" w:sz="0" w:space="0" w:color="auto"/>
            <w:bottom w:val="none" w:sz="0" w:space="0" w:color="auto"/>
            <w:right w:val="none" w:sz="0" w:space="0" w:color="auto"/>
          </w:divBdr>
          <w:divsChild>
            <w:div w:id="933972777">
              <w:marLeft w:val="0"/>
              <w:marRight w:val="0"/>
              <w:marTop w:val="0"/>
              <w:marBottom w:val="0"/>
              <w:divBdr>
                <w:top w:val="none" w:sz="0" w:space="0" w:color="auto"/>
                <w:left w:val="none" w:sz="0" w:space="0" w:color="auto"/>
                <w:bottom w:val="none" w:sz="0" w:space="0" w:color="auto"/>
                <w:right w:val="none" w:sz="0" w:space="0" w:color="auto"/>
              </w:divBdr>
              <w:divsChild>
                <w:div w:id="826020656">
                  <w:marLeft w:val="0"/>
                  <w:marRight w:val="0"/>
                  <w:marTop w:val="0"/>
                  <w:marBottom w:val="0"/>
                  <w:divBdr>
                    <w:top w:val="none" w:sz="0" w:space="0" w:color="auto"/>
                    <w:left w:val="none" w:sz="0" w:space="0" w:color="auto"/>
                    <w:bottom w:val="none" w:sz="0" w:space="0" w:color="auto"/>
                    <w:right w:val="none" w:sz="0" w:space="0" w:color="auto"/>
                  </w:divBdr>
                  <w:divsChild>
                    <w:div w:id="786580436">
                      <w:marLeft w:val="0"/>
                      <w:marRight w:val="0"/>
                      <w:marTop w:val="0"/>
                      <w:marBottom w:val="0"/>
                      <w:divBdr>
                        <w:top w:val="none" w:sz="0" w:space="0" w:color="auto"/>
                        <w:left w:val="none" w:sz="0" w:space="0" w:color="auto"/>
                        <w:bottom w:val="none" w:sz="0" w:space="0" w:color="auto"/>
                        <w:right w:val="none" w:sz="0" w:space="0" w:color="auto"/>
                      </w:divBdr>
                      <w:divsChild>
                        <w:div w:id="832837838">
                          <w:marLeft w:val="0"/>
                          <w:marRight w:val="0"/>
                          <w:marTop w:val="0"/>
                          <w:marBottom w:val="0"/>
                          <w:divBdr>
                            <w:top w:val="none" w:sz="0" w:space="0" w:color="auto"/>
                            <w:left w:val="none" w:sz="0" w:space="0" w:color="auto"/>
                            <w:bottom w:val="none" w:sz="0" w:space="0" w:color="auto"/>
                            <w:right w:val="none" w:sz="0" w:space="0" w:color="auto"/>
                          </w:divBdr>
                          <w:divsChild>
                            <w:div w:id="9072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500605">
      <w:bodyDiv w:val="1"/>
      <w:marLeft w:val="0"/>
      <w:marRight w:val="0"/>
      <w:marTop w:val="0"/>
      <w:marBottom w:val="0"/>
      <w:divBdr>
        <w:top w:val="none" w:sz="0" w:space="0" w:color="auto"/>
        <w:left w:val="none" w:sz="0" w:space="0" w:color="auto"/>
        <w:bottom w:val="none" w:sz="0" w:space="0" w:color="auto"/>
        <w:right w:val="none" w:sz="0" w:space="0" w:color="auto"/>
      </w:divBdr>
      <w:divsChild>
        <w:div w:id="906958445">
          <w:marLeft w:val="0"/>
          <w:marRight w:val="0"/>
          <w:marTop w:val="0"/>
          <w:marBottom w:val="0"/>
          <w:divBdr>
            <w:top w:val="none" w:sz="0" w:space="0" w:color="auto"/>
            <w:left w:val="none" w:sz="0" w:space="0" w:color="auto"/>
            <w:bottom w:val="none" w:sz="0" w:space="0" w:color="auto"/>
            <w:right w:val="none" w:sz="0" w:space="0" w:color="auto"/>
          </w:divBdr>
          <w:divsChild>
            <w:div w:id="692532563">
              <w:marLeft w:val="0"/>
              <w:marRight w:val="0"/>
              <w:marTop w:val="0"/>
              <w:marBottom w:val="0"/>
              <w:divBdr>
                <w:top w:val="none" w:sz="0" w:space="0" w:color="auto"/>
                <w:left w:val="none" w:sz="0" w:space="0" w:color="auto"/>
                <w:bottom w:val="none" w:sz="0" w:space="0" w:color="auto"/>
                <w:right w:val="none" w:sz="0" w:space="0" w:color="auto"/>
              </w:divBdr>
              <w:divsChild>
                <w:div w:id="803237717">
                  <w:marLeft w:val="0"/>
                  <w:marRight w:val="0"/>
                  <w:marTop w:val="0"/>
                  <w:marBottom w:val="0"/>
                  <w:divBdr>
                    <w:top w:val="none" w:sz="0" w:space="0" w:color="auto"/>
                    <w:left w:val="none" w:sz="0" w:space="0" w:color="auto"/>
                    <w:bottom w:val="none" w:sz="0" w:space="0" w:color="auto"/>
                    <w:right w:val="none" w:sz="0" w:space="0" w:color="auto"/>
                  </w:divBdr>
                  <w:divsChild>
                    <w:div w:id="1270821576">
                      <w:marLeft w:val="0"/>
                      <w:marRight w:val="0"/>
                      <w:marTop w:val="0"/>
                      <w:marBottom w:val="0"/>
                      <w:divBdr>
                        <w:top w:val="none" w:sz="0" w:space="0" w:color="auto"/>
                        <w:left w:val="none" w:sz="0" w:space="0" w:color="auto"/>
                        <w:bottom w:val="none" w:sz="0" w:space="0" w:color="auto"/>
                        <w:right w:val="none" w:sz="0" w:space="0" w:color="auto"/>
                      </w:divBdr>
                      <w:divsChild>
                        <w:div w:id="1015111632">
                          <w:marLeft w:val="0"/>
                          <w:marRight w:val="0"/>
                          <w:marTop w:val="0"/>
                          <w:marBottom w:val="0"/>
                          <w:divBdr>
                            <w:top w:val="none" w:sz="0" w:space="0" w:color="auto"/>
                            <w:left w:val="none" w:sz="0" w:space="0" w:color="auto"/>
                            <w:bottom w:val="none" w:sz="0" w:space="0" w:color="auto"/>
                            <w:right w:val="none" w:sz="0" w:space="0" w:color="auto"/>
                          </w:divBdr>
                          <w:divsChild>
                            <w:div w:id="122522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641244">
      <w:bodyDiv w:val="1"/>
      <w:marLeft w:val="0"/>
      <w:marRight w:val="0"/>
      <w:marTop w:val="0"/>
      <w:marBottom w:val="0"/>
      <w:divBdr>
        <w:top w:val="none" w:sz="0" w:space="0" w:color="auto"/>
        <w:left w:val="none" w:sz="0" w:space="0" w:color="auto"/>
        <w:bottom w:val="none" w:sz="0" w:space="0" w:color="auto"/>
        <w:right w:val="none" w:sz="0" w:space="0" w:color="auto"/>
      </w:divBdr>
      <w:divsChild>
        <w:div w:id="1233463071">
          <w:marLeft w:val="0"/>
          <w:marRight w:val="0"/>
          <w:marTop w:val="0"/>
          <w:marBottom w:val="0"/>
          <w:divBdr>
            <w:top w:val="none" w:sz="0" w:space="0" w:color="auto"/>
            <w:left w:val="none" w:sz="0" w:space="0" w:color="auto"/>
            <w:bottom w:val="none" w:sz="0" w:space="0" w:color="auto"/>
            <w:right w:val="none" w:sz="0" w:space="0" w:color="auto"/>
          </w:divBdr>
          <w:divsChild>
            <w:div w:id="938103282">
              <w:marLeft w:val="0"/>
              <w:marRight w:val="0"/>
              <w:marTop w:val="0"/>
              <w:marBottom w:val="0"/>
              <w:divBdr>
                <w:top w:val="none" w:sz="0" w:space="0" w:color="auto"/>
                <w:left w:val="none" w:sz="0" w:space="0" w:color="auto"/>
                <w:bottom w:val="none" w:sz="0" w:space="0" w:color="auto"/>
                <w:right w:val="none" w:sz="0" w:space="0" w:color="auto"/>
              </w:divBdr>
              <w:divsChild>
                <w:div w:id="1624966493">
                  <w:marLeft w:val="0"/>
                  <w:marRight w:val="0"/>
                  <w:marTop w:val="0"/>
                  <w:marBottom w:val="0"/>
                  <w:divBdr>
                    <w:top w:val="none" w:sz="0" w:space="0" w:color="auto"/>
                    <w:left w:val="none" w:sz="0" w:space="0" w:color="auto"/>
                    <w:bottom w:val="none" w:sz="0" w:space="0" w:color="auto"/>
                    <w:right w:val="none" w:sz="0" w:space="0" w:color="auto"/>
                  </w:divBdr>
                  <w:divsChild>
                    <w:div w:id="692993271">
                      <w:marLeft w:val="0"/>
                      <w:marRight w:val="0"/>
                      <w:marTop w:val="0"/>
                      <w:marBottom w:val="0"/>
                      <w:divBdr>
                        <w:top w:val="none" w:sz="0" w:space="0" w:color="auto"/>
                        <w:left w:val="none" w:sz="0" w:space="0" w:color="auto"/>
                        <w:bottom w:val="none" w:sz="0" w:space="0" w:color="auto"/>
                        <w:right w:val="none" w:sz="0" w:space="0" w:color="auto"/>
                      </w:divBdr>
                      <w:divsChild>
                        <w:div w:id="2057655450">
                          <w:marLeft w:val="0"/>
                          <w:marRight w:val="0"/>
                          <w:marTop w:val="0"/>
                          <w:marBottom w:val="0"/>
                          <w:divBdr>
                            <w:top w:val="none" w:sz="0" w:space="0" w:color="auto"/>
                            <w:left w:val="none" w:sz="0" w:space="0" w:color="auto"/>
                            <w:bottom w:val="none" w:sz="0" w:space="0" w:color="auto"/>
                            <w:right w:val="none" w:sz="0" w:space="0" w:color="auto"/>
                          </w:divBdr>
                          <w:divsChild>
                            <w:div w:id="9583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360269">
      <w:bodyDiv w:val="1"/>
      <w:marLeft w:val="0"/>
      <w:marRight w:val="0"/>
      <w:marTop w:val="0"/>
      <w:marBottom w:val="0"/>
      <w:divBdr>
        <w:top w:val="none" w:sz="0" w:space="0" w:color="auto"/>
        <w:left w:val="none" w:sz="0" w:space="0" w:color="auto"/>
        <w:bottom w:val="none" w:sz="0" w:space="0" w:color="auto"/>
        <w:right w:val="none" w:sz="0" w:space="0" w:color="auto"/>
      </w:divBdr>
      <w:divsChild>
        <w:div w:id="202527605">
          <w:marLeft w:val="0"/>
          <w:marRight w:val="0"/>
          <w:marTop w:val="0"/>
          <w:marBottom w:val="0"/>
          <w:divBdr>
            <w:top w:val="none" w:sz="0" w:space="0" w:color="auto"/>
            <w:left w:val="none" w:sz="0" w:space="0" w:color="auto"/>
            <w:bottom w:val="none" w:sz="0" w:space="0" w:color="auto"/>
            <w:right w:val="none" w:sz="0" w:space="0" w:color="auto"/>
          </w:divBdr>
          <w:divsChild>
            <w:div w:id="898983163">
              <w:marLeft w:val="0"/>
              <w:marRight w:val="0"/>
              <w:marTop w:val="0"/>
              <w:marBottom w:val="0"/>
              <w:divBdr>
                <w:top w:val="none" w:sz="0" w:space="0" w:color="auto"/>
                <w:left w:val="none" w:sz="0" w:space="0" w:color="auto"/>
                <w:bottom w:val="none" w:sz="0" w:space="0" w:color="auto"/>
                <w:right w:val="none" w:sz="0" w:space="0" w:color="auto"/>
              </w:divBdr>
              <w:divsChild>
                <w:div w:id="1437556267">
                  <w:marLeft w:val="0"/>
                  <w:marRight w:val="0"/>
                  <w:marTop w:val="0"/>
                  <w:marBottom w:val="0"/>
                  <w:divBdr>
                    <w:top w:val="none" w:sz="0" w:space="0" w:color="auto"/>
                    <w:left w:val="none" w:sz="0" w:space="0" w:color="auto"/>
                    <w:bottom w:val="none" w:sz="0" w:space="0" w:color="auto"/>
                    <w:right w:val="none" w:sz="0" w:space="0" w:color="auto"/>
                  </w:divBdr>
                  <w:divsChild>
                    <w:div w:id="1100297922">
                      <w:marLeft w:val="0"/>
                      <w:marRight w:val="0"/>
                      <w:marTop w:val="0"/>
                      <w:marBottom w:val="0"/>
                      <w:divBdr>
                        <w:top w:val="none" w:sz="0" w:space="0" w:color="auto"/>
                        <w:left w:val="none" w:sz="0" w:space="0" w:color="auto"/>
                        <w:bottom w:val="none" w:sz="0" w:space="0" w:color="auto"/>
                        <w:right w:val="none" w:sz="0" w:space="0" w:color="auto"/>
                      </w:divBdr>
                      <w:divsChild>
                        <w:div w:id="1354654108">
                          <w:marLeft w:val="0"/>
                          <w:marRight w:val="0"/>
                          <w:marTop w:val="0"/>
                          <w:marBottom w:val="0"/>
                          <w:divBdr>
                            <w:top w:val="none" w:sz="0" w:space="0" w:color="auto"/>
                            <w:left w:val="none" w:sz="0" w:space="0" w:color="auto"/>
                            <w:bottom w:val="none" w:sz="0" w:space="0" w:color="auto"/>
                            <w:right w:val="none" w:sz="0" w:space="0" w:color="auto"/>
                          </w:divBdr>
                          <w:divsChild>
                            <w:div w:id="86822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678115474">
      <w:bodyDiv w:val="1"/>
      <w:marLeft w:val="0"/>
      <w:marRight w:val="0"/>
      <w:marTop w:val="0"/>
      <w:marBottom w:val="0"/>
      <w:divBdr>
        <w:top w:val="none" w:sz="0" w:space="0" w:color="auto"/>
        <w:left w:val="none" w:sz="0" w:space="0" w:color="auto"/>
        <w:bottom w:val="none" w:sz="0" w:space="0" w:color="auto"/>
        <w:right w:val="none" w:sz="0" w:space="0" w:color="auto"/>
      </w:divBdr>
      <w:divsChild>
        <w:div w:id="130290008">
          <w:marLeft w:val="0"/>
          <w:marRight w:val="0"/>
          <w:marTop w:val="0"/>
          <w:marBottom w:val="0"/>
          <w:divBdr>
            <w:top w:val="none" w:sz="0" w:space="0" w:color="auto"/>
            <w:left w:val="none" w:sz="0" w:space="0" w:color="auto"/>
            <w:bottom w:val="none" w:sz="0" w:space="0" w:color="auto"/>
            <w:right w:val="none" w:sz="0" w:space="0" w:color="auto"/>
          </w:divBdr>
          <w:divsChild>
            <w:div w:id="1809082819">
              <w:marLeft w:val="0"/>
              <w:marRight w:val="0"/>
              <w:marTop w:val="0"/>
              <w:marBottom w:val="0"/>
              <w:divBdr>
                <w:top w:val="none" w:sz="0" w:space="0" w:color="auto"/>
                <w:left w:val="none" w:sz="0" w:space="0" w:color="auto"/>
                <w:bottom w:val="none" w:sz="0" w:space="0" w:color="auto"/>
                <w:right w:val="none" w:sz="0" w:space="0" w:color="auto"/>
              </w:divBdr>
              <w:divsChild>
                <w:div w:id="1124033082">
                  <w:marLeft w:val="0"/>
                  <w:marRight w:val="0"/>
                  <w:marTop w:val="0"/>
                  <w:marBottom w:val="0"/>
                  <w:divBdr>
                    <w:top w:val="none" w:sz="0" w:space="0" w:color="auto"/>
                    <w:left w:val="none" w:sz="0" w:space="0" w:color="auto"/>
                    <w:bottom w:val="none" w:sz="0" w:space="0" w:color="auto"/>
                    <w:right w:val="none" w:sz="0" w:space="0" w:color="auto"/>
                  </w:divBdr>
                  <w:divsChild>
                    <w:div w:id="1997106626">
                      <w:marLeft w:val="0"/>
                      <w:marRight w:val="0"/>
                      <w:marTop w:val="0"/>
                      <w:marBottom w:val="0"/>
                      <w:divBdr>
                        <w:top w:val="none" w:sz="0" w:space="0" w:color="auto"/>
                        <w:left w:val="none" w:sz="0" w:space="0" w:color="auto"/>
                        <w:bottom w:val="none" w:sz="0" w:space="0" w:color="auto"/>
                        <w:right w:val="none" w:sz="0" w:space="0" w:color="auto"/>
                      </w:divBdr>
                      <w:divsChild>
                        <w:div w:id="1869753493">
                          <w:marLeft w:val="0"/>
                          <w:marRight w:val="0"/>
                          <w:marTop w:val="0"/>
                          <w:marBottom w:val="0"/>
                          <w:divBdr>
                            <w:top w:val="none" w:sz="0" w:space="0" w:color="auto"/>
                            <w:left w:val="none" w:sz="0" w:space="0" w:color="auto"/>
                            <w:bottom w:val="none" w:sz="0" w:space="0" w:color="auto"/>
                            <w:right w:val="none" w:sz="0" w:space="0" w:color="auto"/>
                          </w:divBdr>
                          <w:divsChild>
                            <w:div w:id="24184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648479">
      <w:bodyDiv w:val="1"/>
      <w:marLeft w:val="0"/>
      <w:marRight w:val="0"/>
      <w:marTop w:val="0"/>
      <w:marBottom w:val="0"/>
      <w:divBdr>
        <w:top w:val="none" w:sz="0" w:space="0" w:color="auto"/>
        <w:left w:val="none" w:sz="0" w:space="0" w:color="auto"/>
        <w:bottom w:val="none" w:sz="0" w:space="0" w:color="auto"/>
        <w:right w:val="none" w:sz="0" w:space="0" w:color="auto"/>
      </w:divBdr>
      <w:divsChild>
        <w:div w:id="1834057690">
          <w:marLeft w:val="0"/>
          <w:marRight w:val="0"/>
          <w:marTop w:val="0"/>
          <w:marBottom w:val="0"/>
          <w:divBdr>
            <w:top w:val="none" w:sz="0" w:space="0" w:color="auto"/>
            <w:left w:val="none" w:sz="0" w:space="0" w:color="auto"/>
            <w:bottom w:val="none" w:sz="0" w:space="0" w:color="auto"/>
            <w:right w:val="none" w:sz="0" w:space="0" w:color="auto"/>
          </w:divBdr>
          <w:divsChild>
            <w:div w:id="1239170208">
              <w:marLeft w:val="0"/>
              <w:marRight w:val="0"/>
              <w:marTop w:val="0"/>
              <w:marBottom w:val="0"/>
              <w:divBdr>
                <w:top w:val="none" w:sz="0" w:space="0" w:color="auto"/>
                <w:left w:val="none" w:sz="0" w:space="0" w:color="auto"/>
                <w:bottom w:val="none" w:sz="0" w:space="0" w:color="auto"/>
                <w:right w:val="none" w:sz="0" w:space="0" w:color="auto"/>
              </w:divBdr>
              <w:divsChild>
                <w:div w:id="717585909">
                  <w:marLeft w:val="0"/>
                  <w:marRight w:val="0"/>
                  <w:marTop w:val="0"/>
                  <w:marBottom w:val="0"/>
                  <w:divBdr>
                    <w:top w:val="none" w:sz="0" w:space="0" w:color="auto"/>
                    <w:left w:val="none" w:sz="0" w:space="0" w:color="auto"/>
                    <w:bottom w:val="none" w:sz="0" w:space="0" w:color="auto"/>
                    <w:right w:val="none" w:sz="0" w:space="0" w:color="auto"/>
                  </w:divBdr>
                  <w:divsChild>
                    <w:div w:id="656374370">
                      <w:marLeft w:val="0"/>
                      <w:marRight w:val="0"/>
                      <w:marTop w:val="0"/>
                      <w:marBottom w:val="0"/>
                      <w:divBdr>
                        <w:top w:val="none" w:sz="0" w:space="0" w:color="auto"/>
                        <w:left w:val="none" w:sz="0" w:space="0" w:color="auto"/>
                        <w:bottom w:val="none" w:sz="0" w:space="0" w:color="auto"/>
                        <w:right w:val="none" w:sz="0" w:space="0" w:color="auto"/>
                      </w:divBdr>
                      <w:divsChild>
                        <w:div w:id="1499729465">
                          <w:marLeft w:val="0"/>
                          <w:marRight w:val="0"/>
                          <w:marTop w:val="0"/>
                          <w:marBottom w:val="0"/>
                          <w:divBdr>
                            <w:top w:val="none" w:sz="0" w:space="0" w:color="auto"/>
                            <w:left w:val="none" w:sz="0" w:space="0" w:color="auto"/>
                            <w:bottom w:val="none" w:sz="0" w:space="0" w:color="auto"/>
                            <w:right w:val="none" w:sz="0" w:space="0" w:color="auto"/>
                          </w:divBdr>
                          <w:divsChild>
                            <w:div w:id="18766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787294">
      <w:bodyDiv w:val="1"/>
      <w:marLeft w:val="0"/>
      <w:marRight w:val="0"/>
      <w:marTop w:val="0"/>
      <w:marBottom w:val="0"/>
      <w:divBdr>
        <w:top w:val="none" w:sz="0" w:space="0" w:color="auto"/>
        <w:left w:val="none" w:sz="0" w:space="0" w:color="auto"/>
        <w:bottom w:val="none" w:sz="0" w:space="0" w:color="auto"/>
        <w:right w:val="none" w:sz="0" w:space="0" w:color="auto"/>
      </w:divBdr>
      <w:divsChild>
        <w:div w:id="1002658335">
          <w:marLeft w:val="0"/>
          <w:marRight w:val="0"/>
          <w:marTop w:val="0"/>
          <w:marBottom w:val="0"/>
          <w:divBdr>
            <w:top w:val="none" w:sz="0" w:space="0" w:color="auto"/>
            <w:left w:val="none" w:sz="0" w:space="0" w:color="auto"/>
            <w:bottom w:val="none" w:sz="0" w:space="0" w:color="auto"/>
            <w:right w:val="none" w:sz="0" w:space="0" w:color="auto"/>
          </w:divBdr>
          <w:divsChild>
            <w:div w:id="1856727919">
              <w:marLeft w:val="0"/>
              <w:marRight w:val="0"/>
              <w:marTop w:val="0"/>
              <w:marBottom w:val="0"/>
              <w:divBdr>
                <w:top w:val="none" w:sz="0" w:space="0" w:color="auto"/>
                <w:left w:val="none" w:sz="0" w:space="0" w:color="auto"/>
                <w:bottom w:val="none" w:sz="0" w:space="0" w:color="auto"/>
                <w:right w:val="none" w:sz="0" w:space="0" w:color="auto"/>
              </w:divBdr>
              <w:divsChild>
                <w:div w:id="302391498">
                  <w:marLeft w:val="0"/>
                  <w:marRight w:val="0"/>
                  <w:marTop w:val="0"/>
                  <w:marBottom w:val="0"/>
                  <w:divBdr>
                    <w:top w:val="none" w:sz="0" w:space="0" w:color="auto"/>
                    <w:left w:val="none" w:sz="0" w:space="0" w:color="auto"/>
                    <w:bottom w:val="none" w:sz="0" w:space="0" w:color="auto"/>
                    <w:right w:val="none" w:sz="0" w:space="0" w:color="auto"/>
                  </w:divBdr>
                  <w:divsChild>
                    <w:div w:id="682056390">
                      <w:marLeft w:val="0"/>
                      <w:marRight w:val="0"/>
                      <w:marTop w:val="0"/>
                      <w:marBottom w:val="0"/>
                      <w:divBdr>
                        <w:top w:val="none" w:sz="0" w:space="0" w:color="auto"/>
                        <w:left w:val="none" w:sz="0" w:space="0" w:color="auto"/>
                        <w:bottom w:val="none" w:sz="0" w:space="0" w:color="auto"/>
                        <w:right w:val="none" w:sz="0" w:space="0" w:color="auto"/>
                      </w:divBdr>
                      <w:divsChild>
                        <w:div w:id="1040469605">
                          <w:marLeft w:val="0"/>
                          <w:marRight w:val="0"/>
                          <w:marTop w:val="0"/>
                          <w:marBottom w:val="0"/>
                          <w:divBdr>
                            <w:top w:val="none" w:sz="0" w:space="0" w:color="auto"/>
                            <w:left w:val="none" w:sz="0" w:space="0" w:color="auto"/>
                            <w:bottom w:val="none" w:sz="0" w:space="0" w:color="auto"/>
                            <w:right w:val="none" w:sz="0" w:space="0" w:color="auto"/>
                          </w:divBdr>
                          <w:divsChild>
                            <w:div w:id="145282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129629">
      <w:bodyDiv w:val="1"/>
      <w:marLeft w:val="0"/>
      <w:marRight w:val="0"/>
      <w:marTop w:val="0"/>
      <w:marBottom w:val="0"/>
      <w:divBdr>
        <w:top w:val="none" w:sz="0" w:space="0" w:color="auto"/>
        <w:left w:val="none" w:sz="0" w:space="0" w:color="auto"/>
        <w:bottom w:val="none" w:sz="0" w:space="0" w:color="auto"/>
        <w:right w:val="none" w:sz="0" w:space="0" w:color="auto"/>
      </w:divBdr>
      <w:divsChild>
        <w:div w:id="623006455">
          <w:marLeft w:val="0"/>
          <w:marRight w:val="0"/>
          <w:marTop w:val="0"/>
          <w:marBottom w:val="0"/>
          <w:divBdr>
            <w:top w:val="none" w:sz="0" w:space="0" w:color="auto"/>
            <w:left w:val="none" w:sz="0" w:space="0" w:color="auto"/>
            <w:bottom w:val="none" w:sz="0" w:space="0" w:color="auto"/>
            <w:right w:val="none" w:sz="0" w:space="0" w:color="auto"/>
          </w:divBdr>
          <w:divsChild>
            <w:div w:id="1717048159">
              <w:marLeft w:val="0"/>
              <w:marRight w:val="0"/>
              <w:marTop w:val="0"/>
              <w:marBottom w:val="0"/>
              <w:divBdr>
                <w:top w:val="none" w:sz="0" w:space="0" w:color="auto"/>
                <w:left w:val="none" w:sz="0" w:space="0" w:color="auto"/>
                <w:bottom w:val="none" w:sz="0" w:space="0" w:color="auto"/>
                <w:right w:val="none" w:sz="0" w:space="0" w:color="auto"/>
              </w:divBdr>
              <w:divsChild>
                <w:div w:id="2111006119">
                  <w:marLeft w:val="0"/>
                  <w:marRight w:val="0"/>
                  <w:marTop w:val="0"/>
                  <w:marBottom w:val="0"/>
                  <w:divBdr>
                    <w:top w:val="none" w:sz="0" w:space="0" w:color="auto"/>
                    <w:left w:val="none" w:sz="0" w:space="0" w:color="auto"/>
                    <w:bottom w:val="none" w:sz="0" w:space="0" w:color="auto"/>
                    <w:right w:val="none" w:sz="0" w:space="0" w:color="auto"/>
                  </w:divBdr>
                  <w:divsChild>
                    <w:div w:id="272249776">
                      <w:marLeft w:val="0"/>
                      <w:marRight w:val="0"/>
                      <w:marTop w:val="0"/>
                      <w:marBottom w:val="0"/>
                      <w:divBdr>
                        <w:top w:val="none" w:sz="0" w:space="0" w:color="auto"/>
                        <w:left w:val="none" w:sz="0" w:space="0" w:color="auto"/>
                        <w:bottom w:val="none" w:sz="0" w:space="0" w:color="auto"/>
                        <w:right w:val="none" w:sz="0" w:space="0" w:color="auto"/>
                      </w:divBdr>
                      <w:divsChild>
                        <w:div w:id="1046875337">
                          <w:marLeft w:val="0"/>
                          <w:marRight w:val="0"/>
                          <w:marTop w:val="0"/>
                          <w:marBottom w:val="0"/>
                          <w:divBdr>
                            <w:top w:val="none" w:sz="0" w:space="0" w:color="auto"/>
                            <w:left w:val="none" w:sz="0" w:space="0" w:color="auto"/>
                            <w:bottom w:val="none" w:sz="0" w:space="0" w:color="auto"/>
                            <w:right w:val="none" w:sz="0" w:space="0" w:color="auto"/>
                          </w:divBdr>
                          <w:divsChild>
                            <w:div w:id="10528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582114">
      <w:bodyDiv w:val="1"/>
      <w:marLeft w:val="0"/>
      <w:marRight w:val="0"/>
      <w:marTop w:val="0"/>
      <w:marBottom w:val="0"/>
      <w:divBdr>
        <w:top w:val="none" w:sz="0" w:space="0" w:color="auto"/>
        <w:left w:val="none" w:sz="0" w:space="0" w:color="auto"/>
        <w:bottom w:val="none" w:sz="0" w:space="0" w:color="auto"/>
        <w:right w:val="none" w:sz="0" w:space="0" w:color="auto"/>
      </w:divBdr>
      <w:divsChild>
        <w:div w:id="296490969">
          <w:marLeft w:val="0"/>
          <w:marRight w:val="0"/>
          <w:marTop w:val="0"/>
          <w:marBottom w:val="0"/>
          <w:divBdr>
            <w:top w:val="none" w:sz="0" w:space="0" w:color="auto"/>
            <w:left w:val="none" w:sz="0" w:space="0" w:color="auto"/>
            <w:bottom w:val="none" w:sz="0" w:space="0" w:color="auto"/>
            <w:right w:val="none" w:sz="0" w:space="0" w:color="auto"/>
          </w:divBdr>
          <w:divsChild>
            <w:div w:id="1547910399">
              <w:marLeft w:val="0"/>
              <w:marRight w:val="0"/>
              <w:marTop w:val="0"/>
              <w:marBottom w:val="0"/>
              <w:divBdr>
                <w:top w:val="none" w:sz="0" w:space="0" w:color="auto"/>
                <w:left w:val="none" w:sz="0" w:space="0" w:color="auto"/>
                <w:bottom w:val="none" w:sz="0" w:space="0" w:color="auto"/>
                <w:right w:val="none" w:sz="0" w:space="0" w:color="auto"/>
              </w:divBdr>
              <w:divsChild>
                <w:div w:id="886913017">
                  <w:marLeft w:val="0"/>
                  <w:marRight w:val="0"/>
                  <w:marTop w:val="0"/>
                  <w:marBottom w:val="0"/>
                  <w:divBdr>
                    <w:top w:val="none" w:sz="0" w:space="0" w:color="auto"/>
                    <w:left w:val="none" w:sz="0" w:space="0" w:color="auto"/>
                    <w:bottom w:val="none" w:sz="0" w:space="0" w:color="auto"/>
                    <w:right w:val="none" w:sz="0" w:space="0" w:color="auto"/>
                  </w:divBdr>
                  <w:divsChild>
                    <w:div w:id="1181160684">
                      <w:marLeft w:val="0"/>
                      <w:marRight w:val="0"/>
                      <w:marTop w:val="0"/>
                      <w:marBottom w:val="0"/>
                      <w:divBdr>
                        <w:top w:val="none" w:sz="0" w:space="0" w:color="auto"/>
                        <w:left w:val="none" w:sz="0" w:space="0" w:color="auto"/>
                        <w:bottom w:val="none" w:sz="0" w:space="0" w:color="auto"/>
                        <w:right w:val="none" w:sz="0" w:space="0" w:color="auto"/>
                      </w:divBdr>
                      <w:divsChild>
                        <w:div w:id="1104959456">
                          <w:marLeft w:val="0"/>
                          <w:marRight w:val="0"/>
                          <w:marTop w:val="0"/>
                          <w:marBottom w:val="0"/>
                          <w:divBdr>
                            <w:top w:val="none" w:sz="0" w:space="0" w:color="auto"/>
                            <w:left w:val="none" w:sz="0" w:space="0" w:color="auto"/>
                            <w:bottom w:val="none" w:sz="0" w:space="0" w:color="auto"/>
                            <w:right w:val="none" w:sz="0" w:space="0" w:color="auto"/>
                          </w:divBdr>
                          <w:divsChild>
                            <w:div w:id="36675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586853">
      <w:bodyDiv w:val="1"/>
      <w:marLeft w:val="0"/>
      <w:marRight w:val="0"/>
      <w:marTop w:val="0"/>
      <w:marBottom w:val="0"/>
      <w:divBdr>
        <w:top w:val="none" w:sz="0" w:space="0" w:color="auto"/>
        <w:left w:val="none" w:sz="0" w:space="0" w:color="auto"/>
        <w:bottom w:val="none" w:sz="0" w:space="0" w:color="auto"/>
        <w:right w:val="none" w:sz="0" w:space="0" w:color="auto"/>
      </w:divBdr>
      <w:divsChild>
        <w:div w:id="1652975563">
          <w:marLeft w:val="0"/>
          <w:marRight w:val="0"/>
          <w:marTop w:val="0"/>
          <w:marBottom w:val="0"/>
          <w:divBdr>
            <w:top w:val="none" w:sz="0" w:space="0" w:color="auto"/>
            <w:left w:val="none" w:sz="0" w:space="0" w:color="auto"/>
            <w:bottom w:val="none" w:sz="0" w:space="0" w:color="auto"/>
            <w:right w:val="none" w:sz="0" w:space="0" w:color="auto"/>
          </w:divBdr>
          <w:divsChild>
            <w:div w:id="1736121762">
              <w:marLeft w:val="0"/>
              <w:marRight w:val="0"/>
              <w:marTop w:val="0"/>
              <w:marBottom w:val="0"/>
              <w:divBdr>
                <w:top w:val="none" w:sz="0" w:space="0" w:color="auto"/>
                <w:left w:val="none" w:sz="0" w:space="0" w:color="auto"/>
                <w:bottom w:val="none" w:sz="0" w:space="0" w:color="auto"/>
                <w:right w:val="none" w:sz="0" w:space="0" w:color="auto"/>
              </w:divBdr>
              <w:divsChild>
                <w:div w:id="369427082">
                  <w:marLeft w:val="0"/>
                  <w:marRight w:val="0"/>
                  <w:marTop w:val="0"/>
                  <w:marBottom w:val="0"/>
                  <w:divBdr>
                    <w:top w:val="none" w:sz="0" w:space="0" w:color="auto"/>
                    <w:left w:val="none" w:sz="0" w:space="0" w:color="auto"/>
                    <w:bottom w:val="none" w:sz="0" w:space="0" w:color="auto"/>
                    <w:right w:val="none" w:sz="0" w:space="0" w:color="auto"/>
                  </w:divBdr>
                  <w:divsChild>
                    <w:div w:id="2067868999">
                      <w:marLeft w:val="0"/>
                      <w:marRight w:val="0"/>
                      <w:marTop w:val="0"/>
                      <w:marBottom w:val="0"/>
                      <w:divBdr>
                        <w:top w:val="none" w:sz="0" w:space="0" w:color="auto"/>
                        <w:left w:val="none" w:sz="0" w:space="0" w:color="auto"/>
                        <w:bottom w:val="none" w:sz="0" w:space="0" w:color="auto"/>
                        <w:right w:val="none" w:sz="0" w:space="0" w:color="auto"/>
                      </w:divBdr>
                      <w:divsChild>
                        <w:div w:id="954360702">
                          <w:marLeft w:val="0"/>
                          <w:marRight w:val="0"/>
                          <w:marTop w:val="0"/>
                          <w:marBottom w:val="0"/>
                          <w:divBdr>
                            <w:top w:val="none" w:sz="0" w:space="0" w:color="auto"/>
                            <w:left w:val="none" w:sz="0" w:space="0" w:color="auto"/>
                            <w:bottom w:val="none" w:sz="0" w:space="0" w:color="auto"/>
                            <w:right w:val="none" w:sz="0" w:space="0" w:color="auto"/>
                          </w:divBdr>
                          <w:divsChild>
                            <w:div w:id="69154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190870">
      <w:bodyDiv w:val="1"/>
      <w:marLeft w:val="0"/>
      <w:marRight w:val="0"/>
      <w:marTop w:val="0"/>
      <w:marBottom w:val="0"/>
      <w:divBdr>
        <w:top w:val="none" w:sz="0" w:space="0" w:color="auto"/>
        <w:left w:val="none" w:sz="0" w:space="0" w:color="auto"/>
        <w:bottom w:val="none" w:sz="0" w:space="0" w:color="auto"/>
        <w:right w:val="none" w:sz="0" w:space="0" w:color="auto"/>
      </w:divBdr>
    </w:div>
    <w:div w:id="2037583682">
      <w:bodyDiv w:val="1"/>
      <w:marLeft w:val="0"/>
      <w:marRight w:val="0"/>
      <w:marTop w:val="0"/>
      <w:marBottom w:val="0"/>
      <w:divBdr>
        <w:top w:val="none" w:sz="0" w:space="0" w:color="auto"/>
        <w:left w:val="none" w:sz="0" w:space="0" w:color="auto"/>
        <w:bottom w:val="none" w:sz="0" w:space="0" w:color="auto"/>
        <w:right w:val="none" w:sz="0" w:space="0" w:color="auto"/>
      </w:divBdr>
    </w:div>
    <w:div w:id="2112234299">
      <w:bodyDiv w:val="1"/>
      <w:marLeft w:val="0"/>
      <w:marRight w:val="0"/>
      <w:marTop w:val="0"/>
      <w:marBottom w:val="0"/>
      <w:divBdr>
        <w:top w:val="none" w:sz="0" w:space="0" w:color="auto"/>
        <w:left w:val="none" w:sz="0" w:space="0" w:color="auto"/>
        <w:bottom w:val="none" w:sz="0" w:space="0" w:color="auto"/>
        <w:right w:val="none" w:sz="0" w:space="0" w:color="auto"/>
      </w:divBdr>
      <w:divsChild>
        <w:div w:id="1557594299">
          <w:marLeft w:val="0"/>
          <w:marRight w:val="0"/>
          <w:marTop w:val="0"/>
          <w:marBottom w:val="0"/>
          <w:divBdr>
            <w:top w:val="none" w:sz="0" w:space="0" w:color="auto"/>
            <w:left w:val="none" w:sz="0" w:space="0" w:color="auto"/>
            <w:bottom w:val="none" w:sz="0" w:space="0" w:color="auto"/>
            <w:right w:val="none" w:sz="0" w:space="0" w:color="auto"/>
          </w:divBdr>
          <w:divsChild>
            <w:div w:id="1100102662">
              <w:marLeft w:val="0"/>
              <w:marRight w:val="0"/>
              <w:marTop w:val="0"/>
              <w:marBottom w:val="0"/>
              <w:divBdr>
                <w:top w:val="none" w:sz="0" w:space="0" w:color="auto"/>
                <w:left w:val="none" w:sz="0" w:space="0" w:color="auto"/>
                <w:bottom w:val="none" w:sz="0" w:space="0" w:color="auto"/>
                <w:right w:val="none" w:sz="0" w:space="0" w:color="auto"/>
              </w:divBdr>
              <w:divsChild>
                <w:div w:id="523056270">
                  <w:marLeft w:val="0"/>
                  <w:marRight w:val="0"/>
                  <w:marTop w:val="0"/>
                  <w:marBottom w:val="0"/>
                  <w:divBdr>
                    <w:top w:val="none" w:sz="0" w:space="0" w:color="auto"/>
                    <w:left w:val="none" w:sz="0" w:space="0" w:color="auto"/>
                    <w:bottom w:val="none" w:sz="0" w:space="0" w:color="auto"/>
                    <w:right w:val="none" w:sz="0" w:space="0" w:color="auto"/>
                  </w:divBdr>
                  <w:divsChild>
                    <w:div w:id="340088182">
                      <w:marLeft w:val="0"/>
                      <w:marRight w:val="0"/>
                      <w:marTop w:val="0"/>
                      <w:marBottom w:val="0"/>
                      <w:divBdr>
                        <w:top w:val="none" w:sz="0" w:space="0" w:color="auto"/>
                        <w:left w:val="none" w:sz="0" w:space="0" w:color="auto"/>
                        <w:bottom w:val="none" w:sz="0" w:space="0" w:color="auto"/>
                        <w:right w:val="none" w:sz="0" w:space="0" w:color="auto"/>
                      </w:divBdr>
                      <w:divsChild>
                        <w:div w:id="197864188">
                          <w:marLeft w:val="0"/>
                          <w:marRight w:val="0"/>
                          <w:marTop w:val="0"/>
                          <w:marBottom w:val="0"/>
                          <w:divBdr>
                            <w:top w:val="none" w:sz="0" w:space="0" w:color="auto"/>
                            <w:left w:val="none" w:sz="0" w:space="0" w:color="auto"/>
                            <w:bottom w:val="none" w:sz="0" w:space="0" w:color="auto"/>
                            <w:right w:val="none" w:sz="0" w:space="0" w:color="auto"/>
                          </w:divBdr>
                          <w:divsChild>
                            <w:div w:id="14628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hudoc.echr.coe.int/eng" TargetMode="External"/><Relationship Id="rId26" Type="http://schemas.openxmlformats.org/officeDocument/2006/relationships/hyperlink" Target="http://hudoc.echr.coe.int/eng" TargetMode="External"/><Relationship Id="rId39" Type="http://schemas.openxmlformats.org/officeDocument/2006/relationships/hyperlink" Target="http://hudoc.echr.coe.int/eng" TargetMode="External"/><Relationship Id="rId3" Type="http://schemas.openxmlformats.org/officeDocument/2006/relationships/customXml" Target="../customXml/item3.xml"/><Relationship Id="rId21" Type="http://schemas.openxmlformats.org/officeDocument/2006/relationships/hyperlink" Target="http://hudoc.echr.coe.int/eng" TargetMode="External"/><Relationship Id="rId34" Type="http://schemas.openxmlformats.org/officeDocument/2006/relationships/hyperlink" Target="http://hudoc.echr.coe.int/eng" TargetMode="External"/><Relationship Id="rId42" Type="http://schemas.openxmlformats.org/officeDocument/2006/relationships/header" Target="header3.xml"/><Relationship Id="rId47"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hudoc.echr.coe.int/eng" TargetMode="External"/><Relationship Id="rId25" Type="http://schemas.openxmlformats.org/officeDocument/2006/relationships/hyperlink" Target="http://hudoc.echr.coe.int/eng" TargetMode="External"/><Relationship Id="rId33" Type="http://schemas.openxmlformats.org/officeDocument/2006/relationships/hyperlink" Target="http://hudoc.echr.coe.int/eng" TargetMode="External"/><Relationship Id="rId38" Type="http://schemas.openxmlformats.org/officeDocument/2006/relationships/hyperlink" Target="http://hudoc.echr.coe.int/eng"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hudoc.echr.coe.int/eng" TargetMode="External"/><Relationship Id="rId20" Type="http://schemas.openxmlformats.org/officeDocument/2006/relationships/hyperlink" Target="http://hudoc.echr.coe.int/eng" TargetMode="External"/><Relationship Id="rId29" Type="http://schemas.openxmlformats.org/officeDocument/2006/relationships/hyperlink" Target="http://hudoc.echr.coe.int/eng" TargetMode="External"/><Relationship Id="rId41" Type="http://schemas.openxmlformats.org/officeDocument/2006/relationships/hyperlink" Target="http://hudoc.echr.coe.int/e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hudoc.echr.coe.int/eng" TargetMode="External"/><Relationship Id="rId32" Type="http://schemas.openxmlformats.org/officeDocument/2006/relationships/hyperlink" Target="http://hudoc.echr.coe.int/eng" TargetMode="External"/><Relationship Id="rId37" Type="http://schemas.openxmlformats.org/officeDocument/2006/relationships/hyperlink" Target="http://hudoc.echr.coe.int/eng" TargetMode="External"/><Relationship Id="rId40" Type="http://schemas.openxmlformats.org/officeDocument/2006/relationships/hyperlink" Target="http://hudoc.echr.coe.int/eng" TargetMode="External"/><Relationship Id="rId45"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http://hudoc.echr.coe.int/eng" TargetMode="External"/><Relationship Id="rId23" Type="http://schemas.openxmlformats.org/officeDocument/2006/relationships/hyperlink" Target="http://hudoc.echr.coe.int/eng" TargetMode="External"/><Relationship Id="rId28" Type="http://schemas.openxmlformats.org/officeDocument/2006/relationships/hyperlink" Target="http://hudoc.echr.coe.int/eng" TargetMode="External"/><Relationship Id="rId36" Type="http://schemas.openxmlformats.org/officeDocument/2006/relationships/hyperlink" Target="http://hudoc.echr.coe.int/eng" TargetMode="External"/><Relationship Id="rId10" Type="http://schemas.openxmlformats.org/officeDocument/2006/relationships/footnotes" Target="footnotes.xml"/><Relationship Id="rId19" Type="http://schemas.openxmlformats.org/officeDocument/2006/relationships/hyperlink" Target="http://hudoc.echr.coe.int/eng" TargetMode="External"/><Relationship Id="rId31" Type="http://schemas.openxmlformats.org/officeDocument/2006/relationships/hyperlink" Target="http://hudoc.echr.coe.int/fre" TargetMode="External"/><Relationship Id="rId44"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hudoc.echr.coe.int/eng" TargetMode="External"/><Relationship Id="rId27" Type="http://schemas.openxmlformats.org/officeDocument/2006/relationships/hyperlink" Target="http://hudoc.echr.coe.int/eng" TargetMode="External"/><Relationship Id="rId30" Type="http://schemas.openxmlformats.org/officeDocument/2006/relationships/hyperlink" Target="http://hudoc.echr.coe.int/eng" TargetMode="External"/><Relationship Id="rId35" Type="http://schemas.openxmlformats.org/officeDocument/2006/relationships/hyperlink" Target="http://hudoc.echr.coe.int/eng" TargetMode="External"/><Relationship Id="rId43"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5605C-8DD5-4262-81DE-1AF2179D203B}">
  <ds:schemaRefs>
    <ds:schemaRef ds:uri="http://schemas.openxmlformats.org/package/2006/metadata/core-properties"/>
    <ds:schemaRef ds:uri="http://schemas.microsoft.com/office/2006/documentManagement/types"/>
    <ds:schemaRef ds:uri="http://www.w3.org/XML/1998/namespace"/>
    <ds:schemaRef ds:uri="http://purl.org/dc/term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A04E9D8-767D-49F0-9458-968441532F1D}">
  <ds:schemaRefs>
    <ds:schemaRef ds:uri="http://schemas.microsoft.com/sharepoint/v3/contenttype/forms"/>
  </ds:schemaRefs>
</ds:datastoreItem>
</file>

<file path=customXml/itemProps3.xml><?xml version="1.0" encoding="utf-8"?>
<ds:datastoreItem xmlns:ds="http://schemas.openxmlformats.org/officeDocument/2006/customXml" ds:itemID="{311B4264-F48B-480F-8005-DE2D608F1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55A0551-A329-4989-A459-6C2A0B01C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22737</Words>
  <Characters>129605</Characters>
  <Application>Microsoft Office Word</Application>
  <DocSecurity>4</DocSecurity>
  <Lines>1080</Lines>
  <Paragraphs>304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152038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lastModifiedBy/>
  <cp:revision>1</cp:revision>
  <dcterms:created xsi:type="dcterms:W3CDTF">2017-03-20T16:15:00Z</dcterms:created>
  <dcterms:modified xsi:type="dcterms:W3CDTF">2017-03-20T16:15:00Z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